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wordWrap/>
        <w:overflowPunct/>
        <w:autoSpaceDE/>
        <w:autoSpaceDN/>
        <w:bidi w:val="0"/>
        <w:spacing w:line="600" w:lineRule="exact"/>
        <w:ind w:left="0" w:leftChars="0"/>
        <w:jc w:val="center"/>
        <w:textAlignment w:val="auto"/>
        <w:rPr>
          <w:rStyle w:val="8"/>
          <w:rFonts w:ascii="宋体" w:hAnsi="宋体" w:eastAsia="方正小标宋简体"/>
          <w:color w:val="auto"/>
          <w:kern w:val="2"/>
          <w:sz w:val="44"/>
          <w:szCs w:val="44"/>
          <w:lang w:val="en-US" w:eastAsia="zh-CN" w:bidi="ar-SA"/>
        </w:rPr>
      </w:pPr>
      <w:bookmarkStart w:id="0" w:name="OLE_LINK1"/>
      <w:r>
        <w:rPr>
          <w:rStyle w:val="8"/>
          <w:rFonts w:ascii="宋体" w:hAnsi="宋体" w:eastAsia="方正小标宋简体"/>
          <w:color w:val="auto"/>
          <w:kern w:val="2"/>
          <w:sz w:val="44"/>
          <w:szCs w:val="44"/>
          <w:lang w:val="en-US" w:eastAsia="zh-CN" w:bidi="ar-SA"/>
        </w:rPr>
        <w:t>仙游县PS-20</w:t>
      </w:r>
      <w:r>
        <w:rPr>
          <w:rStyle w:val="8"/>
          <w:rFonts w:hint="eastAsia" w:ascii="宋体" w:hAnsi="宋体" w:eastAsia="方正小标宋简体"/>
          <w:color w:val="auto"/>
          <w:kern w:val="2"/>
          <w:sz w:val="44"/>
          <w:szCs w:val="44"/>
          <w:lang w:val="en-US" w:eastAsia="zh-CN" w:bidi="ar-SA"/>
        </w:rPr>
        <w:t>22-4</w:t>
      </w:r>
      <w:r>
        <w:rPr>
          <w:rStyle w:val="8"/>
          <w:rFonts w:ascii="宋体" w:hAnsi="宋体" w:eastAsia="方正小标宋简体"/>
          <w:color w:val="auto"/>
          <w:kern w:val="2"/>
          <w:sz w:val="44"/>
          <w:szCs w:val="44"/>
          <w:lang w:val="en-US" w:eastAsia="zh-CN" w:bidi="ar-SA"/>
        </w:rPr>
        <w:t>号地块国有建设用地</w:t>
      </w:r>
    </w:p>
    <w:p>
      <w:pPr>
        <w:kinsoku/>
        <w:wordWrap/>
        <w:overflowPunct/>
        <w:autoSpaceDE/>
        <w:autoSpaceDN/>
        <w:bidi w:val="0"/>
        <w:spacing w:line="600" w:lineRule="exact"/>
        <w:ind w:left="0" w:leftChars="0"/>
        <w:jc w:val="center"/>
        <w:textAlignment w:val="auto"/>
        <w:rPr>
          <w:rStyle w:val="8"/>
          <w:rFonts w:ascii="宋体" w:hAnsi="宋体" w:eastAsia="方正小标宋简体"/>
          <w:color w:val="auto"/>
          <w:kern w:val="2"/>
          <w:sz w:val="44"/>
          <w:szCs w:val="44"/>
          <w:lang w:val="en-US" w:eastAsia="zh-CN" w:bidi="ar-SA"/>
        </w:rPr>
      </w:pPr>
      <w:r>
        <w:rPr>
          <w:rStyle w:val="8"/>
          <w:rFonts w:ascii="宋体" w:hAnsi="宋体" w:eastAsia="方正小标宋简体"/>
          <w:color w:val="auto"/>
          <w:kern w:val="2"/>
          <w:sz w:val="44"/>
          <w:szCs w:val="44"/>
          <w:lang w:val="en-US" w:eastAsia="zh-CN" w:bidi="ar-SA"/>
        </w:rPr>
        <w:t>使用权拍卖出让方案</w:t>
      </w:r>
    </w:p>
    <w:p>
      <w:pPr>
        <w:kinsoku/>
        <w:wordWrap/>
        <w:overflowPunct/>
        <w:autoSpaceDE/>
        <w:autoSpaceDN/>
        <w:bidi w:val="0"/>
        <w:spacing w:line="440" w:lineRule="exact"/>
        <w:ind w:left="0" w:leftChars="0"/>
        <w:jc w:val="both"/>
        <w:textAlignment w:val="auto"/>
        <w:rPr>
          <w:rStyle w:val="8"/>
          <w:rFonts w:ascii="宋体" w:hAnsi="宋体" w:eastAsia="仿宋_GB2312"/>
          <w:color w:val="auto"/>
          <w:kern w:val="2"/>
          <w:sz w:val="32"/>
          <w:szCs w:val="24"/>
          <w:lang w:val="en-US" w:eastAsia="zh-CN" w:bidi="ar-SA"/>
        </w:rPr>
      </w:pP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根据我县城市建设规划和土地年度供应计划，拟对仙游县PS-20</w:t>
      </w:r>
      <w:r>
        <w:rPr>
          <w:rStyle w:val="8"/>
          <w:rFonts w:hint="eastAsia" w:ascii="宋体" w:hAnsi="宋体"/>
          <w:color w:val="auto"/>
          <w:kern w:val="2"/>
          <w:sz w:val="32"/>
          <w:szCs w:val="24"/>
          <w:lang w:val="en-US" w:eastAsia="zh-CN" w:bidi="ar-SA"/>
        </w:rPr>
        <w:t>22-4</w:t>
      </w:r>
      <w:r>
        <w:rPr>
          <w:rStyle w:val="8"/>
          <w:rFonts w:ascii="宋体" w:hAnsi="宋体" w:eastAsia="仿宋_GB2312"/>
          <w:color w:val="auto"/>
          <w:kern w:val="2"/>
          <w:sz w:val="32"/>
          <w:szCs w:val="24"/>
          <w:lang w:val="en-US" w:eastAsia="zh-CN" w:bidi="ar-SA"/>
        </w:rPr>
        <w:t>号地块国有建设用地使用权进行公开拍卖出让，特制定公开拍卖出让方案如下：</w:t>
      </w:r>
    </w:p>
    <w:p>
      <w:pPr>
        <w:kinsoku/>
        <w:wordWrap/>
        <w:overflowPunct/>
        <w:autoSpaceDE/>
        <w:autoSpaceDN/>
        <w:bidi w:val="0"/>
        <w:spacing w:line="560" w:lineRule="exact"/>
        <w:ind w:left="0" w:leftChars="0" w:firstLine="654" w:firstLineChars="200"/>
        <w:jc w:val="both"/>
        <w:textAlignment w:val="auto"/>
        <w:rPr>
          <w:rStyle w:val="8"/>
          <w:rFonts w:ascii="宋体" w:hAnsi="宋体" w:eastAsia="黑体"/>
          <w:color w:val="auto"/>
          <w:kern w:val="2"/>
          <w:sz w:val="32"/>
          <w:szCs w:val="24"/>
          <w:lang w:val="en-US" w:eastAsia="zh-CN" w:bidi="ar-SA"/>
        </w:rPr>
      </w:pPr>
      <w:r>
        <w:rPr>
          <w:rStyle w:val="8"/>
          <w:rFonts w:ascii="宋体" w:hAnsi="宋体" w:eastAsia="黑体"/>
          <w:color w:val="auto"/>
          <w:kern w:val="2"/>
          <w:sz w:val="32"/>
          <w:szCs w:val="24"/>
          <w:lang w:val="en-US" w:eastAsia="zh-CN" w:bidi="ar-SA"/>
        </w:rPr>
        <w:t>一、拍卖地块的位置、面积</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拍卖出让地块位于仙游县</w:t>
      </w:r>
      <w:r>
        <w:rPr>
          <w:rStyle w:val="8"/>
          <w:rFonts w:hint="eastAsia" w:ascii="宋体" w:hAnsi="宋体"/>
          <w:color w:val="auto"/>
          <w:kern w:val="2"/>
          <w:sz w:val="32"/>
          <w:szCs w:val="24"/>
          <w:lang w:val="en-US" w:eastAsia="zh-CN" w:bidi="ar-SA"/>
        </w:rPr>
        <w:t>鲤南镇</w:t>
      </w:r>
      <w:r>
        <w:rPr>
          <w:rStyle w:val="8"/>
          <w:rFonts w:ascii="宋体" w:hAnsi="宋体" w:eastAsia="仿宋_GB2312"/>
          <w:color w:val="auto"/>
          <w:kern w:val="2"/>
          <w:sz w:val="32"/>
          <w:szCs w:val="24"/>
          <w:lang w:val="en-US" w:eastAsia="zh-CN" w:bidi="ar-SA"/>
        </w:rPr>
        <w:t>，</w:t>
      </w:r>
      <w:r>
        <w:rPr>
          <w:rFonts w:hint="eastAsia" w:ascii="宋体" w:hAnsi="宋体" w:eastAsia="仿宋" w:cs="仿宋"/>
          <w:color w:val="auto"/>
          <w:sz w:val="32"/>
          <w:szCs w:val="32"/>
        </w:rPr>
        <w:t>东至</w:t>
      </w:r>
      <w:r>
        <w:rPr>
          <w:rFonts w:hint="eastAsia" w:ascii="宋体" w:hAnsi="宋体" w:eastAsia="仿宋" w:cs="仿宋"/>
          <w:color w:val="auto"/>
          <w:sz w:val="32"/>
          <w:szCs w:val="32"/>
          <w:lang w:eastAsia="zh-CN"/>
        </w:rPr>
        <w:t>八二五南街</w:t>
      </w:r>
      <w:r>
        <w:rPr>
          <w:rFonts w:hint="eastAsia" w:ascii="宋体" w:hAnsi="宋体" w:eastAsia="仿宋" w:cs="仿宋"/>
          <w:color w:val="auto"/>
          <w:sz w:val="32"/>
          <w:szCs w:val="32"/>
        </w:rPr>
        <w:t>，西至</w:t>
      </w:r>
      <w:r>
        <w:rPr>
          <w:rFonts w:hint="eastAsia" w:ascii="宋体" w:hAnsi="宋体" w:eastAsia="仿宋" w:cs="仿宋"/>
          <w:color w:val="auto"/>
          <w:sz w:val="32"/>
          <w:szCs w:val="32"/>
          <w:lang w:eastAsia="zh-CN"/>
        </w:rPr>
        <w:t>规划地块</w:t>
      </w:r>
      <w:r>
        <w:rPr>
          <w:rFonts w:hint="eastAsia" w:ascii="宋体" w:hAnsi="宋体" w:eastAsia="仿宋" w:cs="仿宋"/>
          <w:color w:val="auto"/>
          <w:sz w:val="32"/>
          <w:szCs w:val="32"/>
        </w:rPr>
        <w:t>，南至</w:t>
      </w:r>
      <w:r>
        <w:rPr>
          <w:rFonts w:hint="eastAsia" w:ascii="宋体" w:hAnsi="宋体" w:eastAsia="仿宋" w:cs="仿宋"/>
          <w:color w:val="auto"/>
          <w:sz w:val="32"/>
          <w:szCs w:val="32"/>
          <w:lang w:eastAsia="zh-CN"/>
        </w:rPr>
        <w:t>宫后路</w:t>
      </w:r>
      <w:r>
        <w:rPr>
          <w:rFonts w:hint="eastAsia" w:ascii="宋体" w:hAnsi="宋体" w:eastAsia="仿宋" w:cs="仿宋"/>
          <w:color w:val="auto"/>
          <w:sz w:val="32"/>
          <w:szCs w:val="32"/>
        </w:rPr>
        <w:t>，北至</w:t>
      </w:r>
      <w:r>
        <w:rPr>
          <w:rFonts w:hint="eastAsia" w:ascii="宋体" w:hAnsi="宋体" w:eastAsia="仿宋" w:cs="仿宋"/>
          <w:color w:val="auto"/>
          <w:sz w:val="32"/>
          <w:szCs w:val="32"/>
          <w:lang w:eastAsia="zh-CN"/>
        </w:rPr>
        <w:t>云里路</w:t>
      </w:r>
      <w:r>
        <w:rPr>
          <w:rFonts w:hint="eastAsia" w:ascii="仿宋_GB2312" w:eastAsia="仿宋_GB2312"/>
          <w:color w:val="auto"/>
          <w:sz w:val="32"/>
          <w:szCs w:val="32"/>
        </w:rPr>
        <w:t>。</w:t>
      </w:r>
      <w:r>
        <w:rPr>
          <w:rStyle w:val="8"/>
          <w:rFonts w:ascii="宋体" w:hAnsi="宋体" w:eastAsia="仿宋_GB2312"/>
          <w:color w:val="auto"/>
          <w:kern w:val="2"/>
          <w:sz w:val="32"/>
          <w:szCs w:val="24"/>
          <w:lang w:val="en-US" w:eastAsia="zh-CN" w:bidi="ar-SA"/>
        </w:rPr>
        <w:t>宗地编号为PS-20</w:t>
      </w:r>
      <w:r>
        <w:rPr>
          <w:rStyle w:val="8"/>
          <w:rFonts w:hint="eastAsia" w:ascii="宋体" w:hAnsi="宋体"/>
          <w:color w:val="auto"/>
          <w:kern w:val="2"/>
          <w:sz w:val="32"/>
          <w:szCs w:val="24"/>
          <w:lang w:val="en-US" w:eastAsia="zh-CN" w:bidi="ar-SA"/>
        </w:rPr>
        <w:t>22-4</w:t>
      </w:r>
      <w:r>
        <w:rPr>
          <w:rStyle w:val="8"/>
          <w:rFonts w:ascii="宋体" w:hAnsi="宋体" w:eastAsia="仿宋_GB2312"/>
          <w:color w:val="auto"/>
          <w:kern w:val="2"/>
          <w:sz w:val="32"/>
          <w:szCs w:val="24"/>
          <w:lang w:val="en-US" w:eastAsia="zh-CN" w:bidi="ar-SA"/>
        </w:rPr>
        <w:t>号。用地总面积为</w:t>
      </w:r>
      <w:r>
        <w:rPr>
          <w:rFonts w:hint="eastAsia"/>
          <w:color w:val="auto"/>
          <w:u w:val="none"/>
          <w:lang w:val="en-US" w:eastAsia="zh-CN"/>
        </w:rPr>
        <w:t>36808.49平方米</w:t>
      </w:r>
      <w:r>
        <w:rPr>
          <w:rStyle w:val="8"/>
          <w:rFonts w:ascii="宋体" w:hAnsi="宋体" w:eastAsia="仿宋_GB2312"/>
          <w:color w:val="auto"/>
          <w:kern w:val="2"/>
          <w:sz w:val="32"/>
          <w:szCs w:val="24"/>
          <w:lang w:val="en-US" w:eastAsia="zh-CN" w:bidi="ar-SA"/>
        </w:rPr>
        <w:t>，实际拍卖出让土地面积</w:t>
      </w:r>
      <w:r>
        <w:rPr>
          <w:rFonts w:hint="eastAsia"/>
          <w:color w:val="auto"/>
          <w:u w:val="none"/>
          <w:lang w:val="en-US" w:eastAsia="zh-CN"/>
        </w:rPr>
        <w:t>3.6808</w:t>
      </w:r>
      <w:r>
        <w:rPr>
          <w:rStyle w:val="8"/>
          <w:rFonts w:ascii="宋体" w:hAnsi="宋体" w:eastAsia="仿宋_GB2312"/>
          <w:color w:val="auto"/>
          <w:kern w:val="2"/>
          <w:sz w:val="32"/>
          <w:szCs w:val="24"/>
          <w:lang w:val="en-US" w:eastAsia="zh-CN" w:bidi="ar-SA"/>
        </w:rPr>
        <w:t>公顷（详见用地规划红线图）。</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黑体"/>
          <w:color w:val="auto"/>
          <w:kern w:val="2"/>
          <w:sz w:val="32"/>
          <w:szCs w:val="24"/>
          <w:lang w:val="en-US" w:eastAsia="zh-CN" w:bidi="ar-SA"/>
        </w:rPr>
        <w:t>二、拍卖地块的用途、使用年限、土地交付及建设时间</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（一）拍卖地块的规划用途为：商服用地--零售商业用地（商店、商场）、住宅用地--城镇住宅用地（普通商品房）及服务设施用地。</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（二）土地使用权出让年限为商服用地--零售商业用地（商店、商场）40年、住宅用地--城镇住宅用地（普通商品房）及服务设施用地70年，自土地使用权交付之日起算。</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（三）土地交付时间：自《国有建设用地使用权出让合同》签订之日起</w:t>
      </w:r>
      <w:r>
        <w:rPr>
          <w:rStyle w:val="8"/>
          <w:rFonts w:hint="eastAsia" w:ascii="宋体" w:hAnsi="宋体"/>
          <w:color w:val="auto"/>
          <w:kern w:val="2"/>
          <w:sz w:val="32"/>
          <w:szCs w:val="24"/>
          <w:lang w:val="en-US" w:eastAsia="zh-CN" w:bidi="ar-SA"/>
        </w:rPr>
        <w:t>一</w:t>
      </w:r>
      <w:r>
        <w:rPr>
          <w:rStyle w:val="8"/>
          <w:rFonts w:ascii="宋体" w:hAnsi="宋体" w:eastAsia="仿宋_GB2312"/>
          <w:color w:val="auto"/>
          <w:kern w:val="2"/>
          <w:sz w:val="32"/>
          <w:szCs w:val="24"/>
          <w:lang w:val="en-US" w:eastAsia="zh-CN" w:bidi="ar-SA"/>
        </w:rPr>
        <w:t>个月内交付土地使用权</w:t>
      </w:r>
      <w:r>
        <w:rPr>
          <w:rStyle w:val="8"/>
          <w:rFonts w:hint="eastAsia" w:ascii="宋体" w:hAnsi="宋体"/>
          <w:color w:val="auto"/>
          <w:kern w:val="2"/>
          <w:sz w:val="32"/>
          <w:szCs w:val="24"/>
          <w:lang w:val="en-US" w:eastAsia="zh-CN" w:bidi="ar-SA"/>
        </w:rPr>
        <w:t>。</w:t>
      </w:r>
      <w:r>
        <w:rPr>
          <w:rStyle w:val="8"/>
          <w:rFonts w:ascii="宋体" w:hAnsi="宋体" w:eastAsia="仿宋_GB2312"/>
          <w:color w:val="auto"/>
          <w:kern w:val="2"/>
          <w:sz w:val="32"/>
          <w:szCs w:val="24"/>
          <w:lang w:val="en-US" w:eastAsia="zh-CN" w:bidi="ar-SA"/>
        </w:rPr>
        <w:t>土地竞得人应在《国有建设用地使用权出让合同》签订之日起</w:t>
      </w:r>
      <w:r>
        <w:rPr>
          <w:rStyle w:val="8"/>
          <w:rFonts w:hint="eastAsia" w:ascii="宋体" w:hAnsi="宋体"/>
          <w:color w:val="auto"/>
          <w:kern w:val="2"/>
          <w:sz w:val="32"/>
          <w:szCs w:val="24"/>
          <w:lang w:val="en-US" w:eastAsia="zh-CN" w:bidi="ar-SA"/>
        </w:rPr>
        <w:t>一</w:t>
      </w:r>
      <w:r>
        <w:rPr>
          <w:rStyle w:val="8"/>
          <w:rFonts w:ascii="宋体" w:hAnsi="宋体" w:eastAsia="仿宋_GB2312"/>
          <w:color w:val="auto"/>
          <w:kern w:val="2"/>
          <w:sz w:val="32"/>
          <w:szCs w:val="24"/>
          <w:lang w:val="en-US" w:eastAsia="zh-CN" w:bidi="ar-SA"/>
        </w:rPr>
        <w:t>个月内与土地出让人签订《交地确认书》，逾期未签订的，经土地出让人催告通知后，十日内仍未签订的，视同土地出让人已交付土地给土地竞得人。</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（四）土地建设时间：土地竞得人在土地交付之日起</w:t>
      </w:r>
      <w:r>
        <w:rPr>
          <w:rStyle w:val="8"/>
          <w:rFonts w:hint="eastAsia" w:ascii="宋体" w:hAnsi="宋体"/>
          <w:color w:val="auto"/>
          <w:kern w:val="2"/>
          <w:sz w:val="32"/>
          <w:szCs w:val="24"/>
          <w:lang w:val="en-US" w:eastAsia="zh-CN" w:bidi="ar-SA"/>
        </w:rPr>
        <w:t>两个月</w:t>
      </w:r>
      <w:r>
        <w:rPr>
          <w:rStyle w:val="8"/>
          <w:rFonts w:ascii="宋体" w:hAnsi="宋体" w:eastAsia="仿宋_GB2312"/>
          <w:color w:val="auto"/>
          <w:kern w:val="2"/>
          <w:sz w:val="32"/>
          <w:szCs w:val="24"/>
          <w:lang w:val="en-US" w:eastAsia="zh-CN" w:bidi="ar-SA"/>
        </w:rPr>
        <w:t>内开工，自开工之日起</w:t>
      </w:r>
      <w:r>
        <w:rPr>
          <w:rStyle w:val="8"/>
          <w:rFonts w:hint="eastAsia" w:ascii="宋体" w:hAnsi="宋体"/>
          <w:color w:val="auto"/>
          <w:kern w:val="2"/>
          <w:sz w:val="32"/>
          <w:szCs w:val="24"/>
          <w:lang w:val="en-US" w:eastAsia="zh-CN" w:bidi="ar-SA"/>
        </w:rPr>
        <w:t>24个月</w:t>
      </w:r>
      <w:r>
        <w:rPr>
          <w:rStyle w:val="8"/>
          <w:rFonts w:ascii="宋体" w:hAnsi="宋体" w:eastAsia="仿宋_GB2312"/>
          <w:color w:val="auto"/>
          <w:kern w:val="2"/>
          <w:sz w:val="32"/>
          <w:szCs w:val="24"/>
          <w:lang w:val="en-US" w:eastAsia="zh-CN" w:bidi="ar-SA"/>
        </w:rPr>
        <w:t>内竣工。</w:t>
      </w:r>
    </w:p>
    <w:p>
      <w:pPr>
        <w:kinsoku/>
        <w:wordWrap/>
        <w:overflowPunct/>
        <w:autoSpaceDE/>
        <w:autoSpaceDN/>
        <w:bidi w:val="0"/>
        <w:spacing w:line="560" w:lineRule="exact"/>
        <w:ind w:left="0" w:leftChars="0" w:firstLine="654" w:firstLineChars="200"/>
        <w:jc w:val="both"/>
        <w:textAlignment w:val="auto"/>
        <w:rPr>
          <w:rStyle w:val="8"/>
          <w:rFonts w:ascii="宋体" w:hAnsi="宋体" w:eastAsia="黑体"/>
          <w:color w:val="auto"/>
          <w:kern w:val="2"/>
          <w:sz w:val="32"/>
          <w:szCs w:val="24"/>
          <w:lang w:val="en-US" w:eastAsia="zh-CN" w:bidi="ar-SA"/>
        </w:rPr>
      </w:pPr>
      <w:r>
        <w:rPr>
          <w:rStyle w:val="8"/>
          <w:rFonts w:ascii="宋体" w:hAnsi="宋体" w:eastAsia="黑体"/>
          <w:color w:val="auto"/>
          <w:kern w:val="2"/>
          <w:sz w:val="32"/>
          <w:szCs w:val="24"/>
          <w:lang w:val="en-US" w:eastAsia="zh-CN" w:bidi="ar-SA"/>
        </w:rPr>
        <w:t>三</w:t>
      </w:r>
      <w:r>
        <w:rPr>
          <w:rStyle w:val="8"/>
          <w:rFonts w:ascii="宋体" w:hAnsi="宋体" w:eastAsia="仿宋_GB2312"/>
          <w:color w:val="auto"/>
          <w:kern w:val="2"/>
          <w:sz w:val="32"/>
          <w:szCs w:val="24"/>
          <w:lang w:val="en-US" w:eastAsia="zh-CN" w:bidi="ar-SA"/>
        </w:rPr>
        <w:t>、</w:t>
      </w:r>
      <w:r>
        <w:rPr>
          <w:rStyle w:val="8"/>
          <w:rFonts w:ascii="宋体" w:hAnsi="宋体" w:eastAsia="黑体"/>
          <w:color w:val="auto"/>
          <w:kern w:val="2"/>
          <w:sz w:val="32"/>
          <w:szCs w:val="24"/>
          <w:lang w:val="en-US" w:eastAsia="zh-CN" w:bidi="ar-SA"/>
        </w:rPr>
        <w:t>拍卖地块建设规划条件及要求</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（一）拍卖地块规划经济技术指标为：</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1.1.0＜容积率≤</w:t>
      </w:r>
      <w:r>
        <w:rPr>
          <w:rStyle w:val="8"/>
          <w:rFonts w:hint="eastAsia" w:ascii="宋体" w:hAnsi="宋体"/>
          <w:color w:val="auto"/>
          <w:kern w:val="2"/>
          <w:sz w:val="32"/>
          <w:szCs w:val="24"/>
          <w:lang w:val="en-US" w:eastAsia="zh-CN" w:bidi="ar-SA"/>
        </w:rPr>
        <w:t>2.2</w:t>
      </w:r>
      <w:r>
        <w:rPr>
          <w:rStyle w:val="8"/>
          <w:rFonts w:ascii="宋体" w:hAnsi="宋体" w:eastAsia="仿宋_GB2312"/>
          <w:color w:val="auto"/>
          <w:kern w:val="2"/>
          <w:sz w:val="32"/>
          <w:szCs w:val="24"/>
          <w:lang w:val="en-US" w:eastAsia="zh-CN" w:bidi="ar-SA"/>
        </w:rPr>
        <w:t>；</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2.建筑密度≤</w:t>
      </w:r>
      <w:r>
        <w:rPr>
          <w:rStyle w:val="8"/>
          <w:rFonts w:hint="eastAsia" w:ascii="宋体" w:hAnsi="宋体"/>
          <w:color w:val="auto"/>
          <w:kern w:val="2"/>
          <w:sz w:val="32"/>
          <w:szCs w:val="24"/>
          <w:lang w:val="en-US" w:eastAsia="zh-CN" w:bidi="ar-SA"/>
        </w:rPr>
        <w:t>29</w:t>
      </w:r>
      <w:r>
        <w:rPr>
          <w:rStyle w:val="8"/>
          <w:rFonts w:ascii="宋体" w:hAnsi="宋体" w:eastAsia="仿宋_GB2312"/>
          <w:color w:val="auto"/>
          <w:kern w:val="2"/>
          <w:sz w:val="32"/>
          <w:szCs w:val="24"/>
          <w:lang w:val="en-US" w:eastAsia="zh-CN" w:bidi="ar-SA"/>
        </w:rPr>
        <w:t>%；</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3.绿地率≥</w:t>
      </w:r>
      <w:r>
        <w:rPr>
          <w:rStyle w:val="8"/>
          <w:rFonts w:hint="eastAsia" w:ascii="宋体" w:hAnsi="宋体"/>
          <w:color w:val="auto"/>
          <w:kern w:val="2"/>
          <w:sz w:val="32"/>
          <w:szCs w:val="24"/>
          <w:lang w:val="en-US" w:eastAsia="zh-CN" w:bidi="ar-SA"/>
        </w:rPr>
        <w:t>25</w:t>
      </w:r>
      <w:r>
        <w:rPr>
          <w:rStyle w:val="8"/>
          <w:rFonts w:ascii="宋体" w:hAnsi="宋体" w:eastAsia="仿宋_GB2312"/>
          <w:color w:val="auto"/>
          <w:kern w:val="2"/>
          <w:sz w:val="32"/>
          <w:szCs w:val="24"/>
          <w:lang w:val="en-US" w:eastAsia="zh-CN" w:bidi="ar-SA"/>
        </w:rPr>
        <w:t>.0%；</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4.商服面积≤</w:t>
      </w:r>
      <w:r>
        <w:rPr>
          <w:rStyle w:val="8"/>
          <w:rFonts w:hint="eastAsia" w:ascii="宋体" w:hAnsi="宋体"/>
          <w:color w:val="auto"/>
          <w:kern w:val="2"/>
          <w:sz w:val="32"/>
          <w:szCs w:val="24"/>
          <w:lang w:val="en-US" w:eastAsia="zh-CN" w:bidi="ar-SA"/>
        </w:rPr>
        <w:t>80</w:t>
      </w:r>
      <w:r>
        <w:rPr>
          <w:rStyle w:val="8"/>
          <w:rFonts w:ascii="宋体" w:hAnsi="宋体" w:eastAsia="仿宋_GB2312"/>
          <w:color w:val="auto"/>
          <w:kern w:val="2"/>
          <w:sz w:val="32"/>
          <w:szCs w:val="24"/>
          <w:lang w:val="en-US" w:eastAsia="zh-CN" w:bidi="ar-SA"/>
        </w:rPr>
        <w:t>00平方米；</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5.</w:t>
      </w:r>
      <w:r>
        <w:rPr>
          <w:rFonts w:hint="eastAsia" w:ascii="宋体" w:hAnsi="宋体" w:eastAsia="仿宋" w:cs="仿宋"/>
          <w:color w:val="auto"/>
          <w:sz w:val="32"/>
          <w:szCs w:val="32"/>
        </w:rPr>
        <w:t>建筑高度≤</w:t>
      </w:r>
      <w:r>
        <w:rPr>
          <w:rFonts w:hint="eastAsia" w:ascii="宋体" w:hAnsi="宋体" w:eastAsia="仿宋" w:cs="仿宋"/>
          <w:color w:val="auto"/>
          <w:sz w:val="32"/>
          <w:szCs w:val="32"/>
          <w:lang w:val="en-US" w:eastAsia="zh-CN"/>
        </w:rPr>
        <w:t>80米</w:t>
      </w:r>
      <w:r>
        <w:rPr>
          <w:rStyle w:val="8"/>
          <w:rFonts w:hint="eastAsia" w:ascii="宋体" w:hAnsi="宋体"/>
          <w:color w:val="auto"/>
          <w:kern w:val="2"/>
          <w:sz w:val="32"/>
          <w:szCs w:val="24"/>
          <w:lang w:val="en-US" w:eastAsia="zh-CN" w:bidi="ar-SA"/>
        </w:rPr>
        <w:t>。</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（二）规划设计方案应符合《福建省城市规划管理技术规定》（2017年2月）和各相关专业规范要求。</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三）在符合相关规定前提下，土地竞得人可合理利用开发地下空间，并应考虑人防、地下管线、消防、停车场及其它配套设施功能。市政公用设施配建（包括夜景）按有关规定设置。消防控制室、有线及电信设备房、高低压变配电机房等规范要求设置的设施应按有关规范执行。</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四）公共服务设施配建应符合《城市居住区规划设计规范》（GB50180—2018）（2018年版）的分级配建要求。除新建、改建或扩建的建筑物要按标准配建相应规模的停车场（库）外，住宅建设项目配建停车位中应包含不低于5%的公共停车泊位，公共停车泊位宜设置在地面。</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（五）竖向及市政工程管线规划应与该片区的竖向标高、控规的道路管线相衔接。</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（六）本规划条件未提及的，应符合有关规定要求。今后建设以经批准的修建性详细规划方案为准。</w:t>
      </w:r>
    </w:p>
    <w:p>
      <w:pPr>
        <w:kinsoku/>
        <w:wordWrap/>
        <w:overflowPunct/>
        <w:autoSpaceDE/>
        <w:autoSpaceDN/>
        <w:bidi w:val="0"/>
        <w:spacing w:line="560" w:lineRule="exact"/>
        <w:ind w:left="0" w:leftChars="0" w:firstLine="654" w:firstLineChars="200"/>
        <w:jc w:val="both"/>
        <w:textAlignment w:val="auto"/>
        <w:rPr>
          <w:rStyle w:val="8"/>
          <w:rFonts w:ascii="宋体" w:hAnsi="宋体" w:eastAsia="黑体"/>
          <w:color w:val="auto"/>
          <w:kern w:val="2"/>
          <w:sz w:val="32"/>
          <w:szCs w:val="24"/>
          <w:lang w:val="en-US" w:eastAsia="zh-CN" w:bidi="ar-SA"/>
        </w:rPr>
      </w:pPr>
      <w:r>
        <w:rPr>
          <w:rStyle w:val="8"/>
          <w:rFonts w:ascii="宋体" w:hAnsi="宋体" w:eastAsia="黑体"/>
          <w:color w:val="auto"/>
          <w:kern w:val="2"/>
          <w:sz w:val="32"/>
          <w:szCs w:val="24"/>
          <w:lang w:val="en-US" w:eastAsia="zh-CN" w:bidi="ar-SA"/>
        </w:rPr>
        <w:t>四、其他要求</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1.</w:t>
      </w:r>
      <w:r>
        <w:rPr>
          <w:rStyle w:val="8"/>
          <w:rFonts w:hint="eastAsia" w:ascii="宋体" w:hAnsi="宋体"/>
          <w:color w:val="auto"/>
          <w:kern w:val="2"/>
          <w:sz w:val="32"/>
          <w:szCs w:val="24"/>
          <w:lang w:val="en-US" w:eastAsia="zh-CN" w:bidi="ar-SA"/>
        </w:rPr>
        <w:t>沿街的建筑若</w:t>
      </w:r>
      <w:r>
        <w:rPr>
          <w:rStyle w:val="8"/>
          <w:rFonts w:ascii="宋体" w:hAnsi="宋体" w:eastAsia="仿宋_GB2312"/>
          <w:color w:val="auto"/>
          <w:kern w:val="2"/>
          <w:sz w:val="32"/>
          <w:szCs w:val="24"/>
          <w:lang w:val="en-US" w:eastAsia="zh-CN" w:bidi="ar-SA"/>
        </w:rPr>
        <w:t>设置阳台时不得设置敞开式阳台。</w:t>
      </w:r>
      <w:r>
        <w:rPr>
          <w:rFonts w:hint="eastAsia" w:ascii="仿宋" w:hAnsi="仿宋" w:eastAsia="仿宋_GB2312" w:cs="Times New Roman"/>
          <w:color w:val="auto"/>
          <w:spacing w:val="6"/>
          <w:kern w:val="2"/>
          <w:sz w:val="32"/>
          <w:szCs w:val="32"/>
        </w:rPr>
        <w:t>住宅阳台应单独设置废水排水管，并接入市政污水收集系统。</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2.养老服务设施按照《</w:t>
      </w:r>
      <w:r>
        <w:rPr>
          <w:rStyle w:val="8"/>
          <w:rFonts w:hint="eastAsia" w:ascii="宋体" w:hAnsi="宋体"/>
          <w:color w:val="auto"/>
          <w:kern w:val="2"/>
          <w:sz w:val="32"/>
          <w:szCs w:val="24"/>
          <w:lang w:val="en-US" w:eastAsia="zh-CN" w:bidi="ar-SA"/>
        </w:rPr>
        <w:t>关于加强城区和住宅小区养老服务设施配建工作的通知</w:t>
      </w:r>
      <w:r>
        <w:rPr>
          <w:rStyle w:val="8"/>
          <w:rFonts w:ascii="宋体" w:hAnsi="宋体" w:eastAsia="仿宋_GB2312"/>
          <w:color w:val="auto"/>
          <w:kern w:val="2"/>
          <w:sz w:val="32"/>
          <w:szCs w:val="24"/>
          <w:lang w:val="en-US" w:eastAsia="zh-CN" w:bidi="ar-SA"/>
        </w:rPr>
        <w:t>》</w:t>
      </w:r>
      <w:r>
        <w:rPr>
          <w:rStyle w:val="8"/>
          <w:rFonts w:hint="eastAsia" w:ascii="宋体" w:hAnsi="宋体"/>
          <w:color w:val="auto"/>
          <w:kern w:val="2"/>
          <w:sz w:val="32"/>
          <w:szCs w:val="24"/>
          <w:lang w:val="en-US" w:eastAsia="zh-CN" w:bidi="ar-SA"/>
        </w:rPr>
        <w:t>（闽民养老</w:t>
      </w:r>
      <w:r>
        <w:rPr>
          <w:rStyle w:val="8"/>
          <w:rFonts w:ascii="宋体" w:hAnsi="宋体" w:eastAsia="仿宋_GB2312"/>
          <w:color w:val="auto"/>
          <w:kern w:val="2"/>
          <w:sz w:val="32"/>
          <w:szCs w:val="24"/>
          <w:lang w:val="en-US" w:eastAsia="zh-CN" w:bidi="ar-SA"/>
        </w:rPr>
        <w:t>〔202</w:t>
      </w:r>
      <w:r>
        <w:rPr>
          <w:rStyle w:val="8"/>
          <w:rFonts w:hint="eastAsia" w:ascii="宋体" w:hAnsi="宋体"/>
          <w:color w:val="auto"/>
          <w:kern w:val="2"/>
          <w:sz w:val="32"/>
          <w:szCs w:val="24"/>
          <w:lang w:val="en-US" w:eastAsia="zh-CN" w:bidi="ar-SA"/>
        </w:rPr>
        <w:t>1</w:t>
      </w:r>
      <w:r>
        <w:rPr>
          <w:rStyle w:val="8"/>
          <w:rFonts w:ascii="宋体" w:hAnsi="宋体" w:eastAsia="仿宋_GB2312"/>
          <w:color w:val="auto"/>
          <w:kern w:val="2"/>
          <w:sz w:val="32"/>
          <w:szCs w:val="24"/>
          <w:lang w:val="en-US" w:eastAsia="zh-CN" w:bidi="ar-SA"/>
        </w:rPr>
        <w:t>〕</w:t>
      </w:r>
      <w:r>
        <w:rPr>
          <w:rStyle w:val="8"/>
          <w:rFonts w:hint="eastAsia" w:ascii="宋体" w:hAnsi="宋体"/>
          <w:color w:val="auto"/>
          <w:kern w:val="2"/>
          <w:sz w:val="32"/>
          <w:szCs w:val="24"/>
          <w:lang w:val="en-US" w:eastAsia="zh-CN" w:bidi="ar-SA"/>
        </w:rPr>
        <w:t>140号）</w:t>
      </w:r>
      <w:r>
        <w:rPr>
          <w:rStyle w:val="8"/>
          <w:rFonts w:ascii="宋体" w:hAnsi="宋体" w:eastAsia="仿宋_GB2312"/>
          <w:color w:val="auto"/>
          <w:kern w:val="2"/>
          <w:sz w:val="32"/>
          <w:szCs w:val="24"/>
          <w:lang w:val="en-US" w:eastAsia="zh-CN" w:bidi="ar-SA"/>
        </w:rPr>
        <w:t>文件要求配建，</w:t>
      </w:r>
      <w:r>
        <w:rPr>
          <w:rStyle w:val="8"/>
          <w:rFonts w:hint="eastAsia" w:ascii="宋体" w:hAnsi="宋体"/>
          <w:color w:val="auto"/>
          <w:kern w:val="2"/>
          <w:sz w:val="32"/>
          <w:szCs w:val="24"/>
          <w:lang w:val="en-US" w:eastAsia="zh-CN" w:bidi="ar-SA"/>
        </w:rPr>
        <w:t>每百户不少于30平方米</w:t>
      </w:r>
      <w:r>
        <w:rPr>
          <w:rStyle w:val="8"/>
          <w:rFonts w:ascii="宋体" w:hAnsi="宋体" w:eastAsia="仿宋_GB2312"/>
          <w:color w:val="auto"/>
          <w:kern w:val="2"/>
          <w:sz w:val="32"/>
          <w:szCs w:val="24"/>
          <w:lang w:val="en-US" w:eastAsia="zh-CN" w:bidi="ar-SA"/>
        </w:rPr>
        <w:t>建筑面积</w:t>
      </w:r>
      <w:r>
        <w:rPr>
          <w:rStyle w:val="8"/>
          <w:rFonts w:hint="eastAsia" w:ascii="宋体" w:hAnsi="宋体"/>
          <w:color w:val="auto"/>
          <w:kern w:val="2"/>
          <w:sz w:val="32"/>
          <w:szCs w:val="24"/>
          <w:lang w:val="en-US" w:eastAsia="zh-CN" w:bidi="ar-SA"/>
        </w:rPr>
        <w:t>,</w:t>
      </w:r>
      <w:r>
        <w:rPr>
          <w:rFonts w:hint="eastAsia" w:ascii="宋体" w:hAnsi="宋体" w:eastAsia="仿宋_GB2312"/>
          <w:bCs/>
          <w:color w:val="auto"/>
          <w:sz w:val="32"/>
          <w:szCs w:val="32"/>
        </w:rPr>
        <w:t>且</w:t>
      </w:r>
      <w:r>
        <w:rPr>
          <w:rFonts w:hint="eastAsia" w:ascii="宋体" w:hAnsi="宋体"/>
          <w:bCs/>
          <w:color w:val="auto"/>
          <w:sz w:val="32"/>
          <w:szCs w:val="32"/>
          <w:lang w:eastAsia="zh-CN"/>
        </w:rPr>
        <w:t>单处用房面积不得少于</w:t>
      </w:r>
      <w:r>
        <w:rPr>
          <w:rFonts w:hint="eastAsia" w:ascii="宋体" w:hAnsi="宋体"/>
          <w:bCs/>
          <w:color w:val="auto"/>
          <w:sz w:val="32"/>
          <w:szCs w:val="32"/>
          <w:lang w:val="en-US" w:eastAsia="zh-CN"/>
        </w:rPr>
        <w:t>400平方米标准配建社区养老服务设施</w:t>
      </w:r>
      <w:r>
        <w:rPr>
          <w:rStyle w:val="8"/>
          <w:rFonts w:ascii="宋体" w:hAnsi="宋体" w:eastAsia="仿宋_GB2312"/>
          <w:color w:val="auto"/>
          <w:kern w:val="2"/>
          <w:sz w:val="32"/>
          <w:szCs w:val="24"/>
          <w:lang w:val="en-US" w:eastAsia="zh-CN" w:bidi="ar-SA"/>
        </w:rPr>
        <w:t>。土地竞得人须在签订《国有建设用地使用权出让合同》的同时签订《PS-20</w:t>
      </w:r>
      <w:r>
        <w:rPr>
          <w:rStyle w:val="8"/>
          <w:rFonts w:hint="eastAsia" w:ascii="宋体" w:hAnsi="宋体"/>
          <w:color w:val="auto"/>
          <w:kern w:val="2"/>
          <w:sz w:val="32"/>
          <w:szCs w:val="24"/>
          <w:lang w:val="en-US" w:eastAsia="zh-CN" w:bidi="ar-SA"/>
        </w:rPr>
        <w:t>22-4</w:t>
      </w:r>
      <w:r>
        <w:rPr>
          <w:rStyle w:val="8"/>
          <w:rFonts w:ascii="宋体" w:hAnsi="宋体" w:eastAsia="仿宋_GB2312"/>
          <w:color w:val="auto"/>
          <w:kern w:val="2"/>
          <w:sz w:val="32"/>
          <w:szCs w:val="24"/>
          <w:lang w:val="en-US" w:eastAsia="zh-CN" w:bidi="ar-SA"/>
        </w:rPr>
        <w:t>号地块无偿配建养老服务设施协议书》，配建的养老服务设施不动产产权归仙游县</w:t>
      </w:r>
      <w:r>
        <w:rPr>
          <w:rStyle w:val="8"/>
          <w:rFonts w:hint="eastAsia" w:ascii="宋体" w:hAnsi="宋体"/>
          <w:color w:val="auto"/>
          <w:kern w:val="2"/>
          <w:sz w:val="32"/>
          <w:szCs w:val="24"/>
          <w:lang w:val="en-US" w:eastAsia="zh-CN" w:bidi="ar-SA"/>
        </w:rPr>
        <w:t>鲤南镇人民政府</w:t>
      </w:r>
      <w:r>
        <w:rPr>
          <w:rStyle w:val="8"/>
          <w:rFonts w:ascii="宋体" w:hAnsi="宋体" w:eastAsia="仿宋_GB2312"/>
          <w:color w:val="auto"/>
          <w:kern w:val="2"/>
          <w:sz w:val="32"/>
          <w:szCs w:val="24"/>
          <w:lang w:val="en-US" w:eastAsia="zh-CN" w:bidi="ar-SA"/>
        </w:rPr>
        <w:t>。</w:t>
      </w:r>
    </w:p>
    <w:p>
      <w:pPr>
        <w:kinsoku/>
        <w:wordWrap/>
        <w:overflowPunct/>
        <w:autoSpaceDE/>
        <w:autoSpaceDN/>
        <w:bidi w:val="0"/>
        <w:spacing w:line="560" w:lineRule="exact"/>
        <w:ind w:left="0" w:leftChars="0" w:firstLine="654" w:firstLineChars="200"/>
        <w:jc w:val="both"/>
        <w:textAlignment w:val="auto"/>
        <w:rPr>
          <w:rStyle w:val="8"/>
          <w:rFonts w:hint="default"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土地竞得人在签订《国有建设用地使用权出让合同》的同时</w:t>
      </w:r>
      <w:r>
        <w:rPr>
          <w:rStyle w:val="8"/>
          <w:rFonts w:hint="eastAsia" w:ascii="宋体" w:hAnsi="宋体"/>
          <w:color w:val="auto"/>
          <w:kern w:val="2"/>
          <w:sz w:val="32"/>
          <w:szCs w:val="24"/>
          <w:lang w:val="en-US" w:eastAsia="zh-CN" w:bidi="ar-SA"/>
        </w:rPr>
        <w:t>，还应与仙游县仙港工业园开发区管委会指定的国有公司签订《仙游县PS-</w:t>
      </w:r>
      <w:r>
        <w:rPr>
          <w:rStyle w:val="8"/>
          <w:rFonts w:ascii="宋体" w:hAnsi="宋体" w:eastAsia="仿宋_GB2312"/>
          <w:color w:val="auto"/>
          <w:kern w:val="2"/>
          <w:sz w:val="32"/>
          <w:szCs w:val="24"/>
          <w:lang w:val="en-US" w:eastAsia="zh-CN" w:bidi="ar-SA"/>
        </w:rPr>
        <w:t>20</w:t>
      </w:r>
      <w:r>
        <w:rPr>
          <w:rStyle w:val="8"/>
          <w:rFonts w:hint="eastAsia" w:ascii="宋体" w:hAnsi="宋体"/>
          <w:color w:val="auto"/>
          <w:kern w:val="2"/>
          <w:sz w:val="32"/>
          <w:szCs w:val="24"/>
          <w:lang w:val="en-US" w:eastAsia="zh-CN" w:bidi="ar-SA"/>
        </w:rPr>
        <w:t>22-4</w:t>
      </w:r>
      <w:r>
        <w:rPr>
          <w:rStyle w:val="8"/>
          <w:rFonts w:ascii="宋体" w:hAnsi="宋体" w:eastAsia="仿宋_GB2312"/>
          <w:color w:val="auto"/>
          <w:kern w:val="2"/>
          <w:sz w:val="32"/>
          <w:szCs w:val="24"/>
          <w:lang w:val="en-US" w:eastAsia="zh-CN" w:bidi="ar-SA"/>
        </w:rPr>
        <w:t>号地块</w:t>
      </w:r>
      <w:r>
        <w:rPr>
          <w:rStyle w:val="8"/>
          <w:rFonts w:hint="eastAsia" w:ascii="宋体" w:hAnsi="宋体"/>
          <w:color w:val="auto"/>
          <w:kern w:val="2"/>
          <w:sz w:val="32"/>
          <w:szCs w:val="24"/>
          <w:lang w:val="en-US" w:eastAsia="zh-CN" w:bidi="ar-SA"/>
        </w:rPr>
        <w:t>(仙游县鲤南41#地安置房）整体回购协议书》。</w:t>
      </w:r>
    </w:p>
    <w:p>
      <w:pPr>
        <w:kinsoku/>
        <w:wordWrap/>
        <w:overflowPunct/>
        <w:autoSpaceDE/>
        <w:autoSpaceDN/>
        <w:bidi w:val="0"/>
        <w:spacing w:line="560" w:lineRule="exact"/>
        <w:ind w:left="0" w:leftChars="0" w:firstLine="654" w:firstLineChars="200"/>
        <w:jc w:val="both"/>
        <w:textAlignment w:val="auto"/>
        <w:rPr>
          <w:rStyle w:val="8"/>
          <w:rFonts w:ascii="宋体" w:hAnsi="宋体" w:eastAsia="黑体"/>
          <w:color w:val="auto"/>
          <w:kern w:val="2"/>
          <w:sz w:val="32"/>
          <w:szCs w:val="24"/>
          <w:lang w:val="en-US" w:eastAsia="zh-CN" w:bidi="ar-SA"/>
        </w:rPr>
      </w:pPr>
      <w:r>
        <w:rPr>
          <w:rStyle w:val="8"/>
          <w:rFonts w:ascii="宋体" w:hAnsi="宋体" w:eastAsia="黑体"/>
          <w:color w:val="auto"/>
          <w:kern w:val="2"/>
          <w:sz w:val="32"/>
          <w:szCs w:val="24"/>
          <w:lang w:val="en-US" w:eastAsia="zh-CN" w:bidi="ar-SA"/>
        </w:rPr>
        <w:t>五、拍卖地块条件</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本地块按现状公开拍卖方式有偿出让，竞买人应自行现场踏勘拍卖地块。红线范围内若有不可见的地下埋藏物需要迁移的,由受让人自行办理并承担费用。</w:t>
      </w:r>
    </w:p>
    <w:p>
      <w:pPr>
        <w:kinsoku/>
        <w:wordWrap/>
        <w:overflowPunct/>
        <w:autoSpaceDE/>
        <w:autoSpaceDN/>
        <w:bidi w:val="0"/>
        <w:spacing w:line="560" w:lineRule="exact"/>
        <w:ind w:left="0" w:leftChars="0" w:firstLine="654" w:firstLineChars="200"/>
        <w:jc w:val="both"/>
        <w:textAlignment w:val="auto"/>
        <w:rPr>
          <w:rStyle w:val="8"/>
          <w:rFonts w:ascii="宋体" w:hAnsi="宋体" w:eastAsia="黑体"/>
          <w:color w:val="auto"/>
          <w:kern w:val="2"/>
          <w:sz w:val="32"/>
          <w:szCs w:val="24"/>
          <w:lang w:val="en-US" w:eastAsia="zh-CN" w:bidi="ar-SA"/>
        </w:rPr>
      </w:pPr>
      <w:r>
        <w:rPr>
          <w:rStyle w:val="8"/>
          <w:rFonts w:ascii="宋体" w:hAnsi="宋体" w:eastAsia="黑体"/>
          <w:color w:val="auto"/>
          <w:kern w:val="2"/>
          <w:sz w:val="32"/>
          <w:szCs w:val="24"/>
          <w:lang w:val="en-US" w:eastAsia="zh-CN" w:bidi="ar-SA"/>
        </w:rPr>
        <w:t>六、拍卖时间和形式</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在拍卖出让方案经县政府批准后，拍卖公告按规定提前二十天在有关媒体上刊登 。</w:t>
      </w:r>
    </w:p>
    <w:p>
      <w:pPr>
        <w:spacing w:line="560" w:lineRule="exact"/>
        <w:ind w:firstLine="654" w:firstLineChars="200"/>
        <w:rPr>
          <w:rFonts w:hint="eastAsia" w:ascii="仿宋" w:hAnsi="仿宋" w:eastAsia="仿宋" w:cs="仿宋"/>
          <w:color w:val="auto"/>
          <w:sz w:val="32"/>
          <w:szCs w:val="32"/>
          <w:highlight w:val="none"/>
        </w:rPr>
      </w:pPr>
      <w:r>
        <w:rPr>
          <w:rStyle w:val="8"/>
          <w:rFonts w:ascii="宋体" w:hAnsi="宋体" w:eastAsia="仿宋_GB2312"/>
          <w:color w:val="auto"/>
          <w:kern w:val="2"/>
          <w:sz w:val="32"/>
          <w:szCs w:val="24"/>
          <w:lang w:val="en-US" w:eastAsia="zh-CN" w:bidi="ar-SA"/>
        </w:rPr>
        <w:t>该宗地采取</w:t>
      </w:r>
      <w:r>
        <w:rPr>
          <w:rFonts w:hint="eastAsia" w:ascii="仿宋" w:hAnsi="仿宋" w:eastAsia="仿宋"/>
          <w:color w:val="auto"/>
          <w:szCs w:val="32"/>
        </w:rPr>
        <w:t>“</w:t>
      </w:r>
      <w:r>
        <w:rPr>
          <w:rFonts w:hint="eastAsia" w:ascii="仿宋" w:hAnsi="仿宋" w:eastAsia="仿宋"/>
          <w:color w:val="auto"/>
          <w:szCs w:val="32"/>
          <w:lang w:eastAsia="zh-CN"/>
        </w:rPr>
        <w:t>竞地价、</w:t>
      </w:r>
      <w:r>
        <w:rPr>
          <w:rFonts w:hint="eastAsia" w:ascii="仿宋" w:hAnsi="仿宋" w:eastAsia="仿宋"/>
          <w:color w:val="auto"/>
          <w:szCs w:val="32"/>
        </w:rPr>
        <w:t>地上地下整体回购”</w:t>
      </w:r>
      <w:r>
        <w:rPr>
          <w:rStyle w:val="8"/>
          <w:rFonts w:ascii="宋体" w:hAnsi="宋体" w:eastAsia="仿宋_GB2312"/>
          <w:color w:val="auto"/>
          <w:kern w:val="2"/>
          <w:sz w:val="32"/>
          <w:szCs w:val="24"/>
          <w:lang w:val="en-US" w:eastAsia="zh-CN" w:bidi="ar-SA"/>
        </w:rPr>
        <w:t>方式出让</w:t>
      </w:r>
      <w:r>
        <w:rPr>
          <w:rStyle w:val="8"/>
          <w:rFonts w:hint="eastAsia" w:ascii="宋体" w:hAnsi="宋体"/>
          <w:color w:val="auto"/>
          <w:kern w:val="2"/>
          <w:sz w:val="32"/>
          <w:szCs w:val="24"/>
          <w:lang w:val="en-US" w:eastAsia="zh-CN" w:bidi="ar-SA"/>
        </w:rPr>
        <w:t>，</w:t>
      </w:r>
      <w:r>
        <w:rPr>
          <w:rFonts w:hint="eastAsia"/>
          <w:color w:val="auto"/>
        </w:rPr>
        <w:t>即地上回购平均单价</w:t>
      </w:r>
      <w:r>
        <w:rPr>
          <w:rFonts w:hint="eastAsia"/>
          <w:color w:val="auto"/>
          <w:lang w:val="en-US" w:eastAsia="zh-CN"/>
        </w:rPr>
        <w:t>5515</w:t>
      </w:r>
      <w:r>
        <w:rPr>
          <w:rFonts w:hint="eastAsia"/>
          <w:color w:val="auto"/>
        </w:rPr>
        <w:t>元/㎡，地下回购平均单价</w:t>
      </w:r>
      <w:r>
        <w:rPr>
          <w:rFonts w:hint="eastAsia"/>
          <w:color w:val="auto"/>
          <w:lang w:val="en-US" w:eastAsia="zh-CN"/>
        </w:rPr>
        <w:t>40</w:t>
      </w:r>
      <w:r>
        <w:rPr>
          <w:rFonts w:hint="eastAsia"/>
          <w:color w:val="auto"/>
        </w:rPr>
        <w:t>00元/㎡</w:t>
      </w:r>
      <w:r>
        <w:rPr>
          <w:rFonts w:hint="eastAsia"/>
          <w:color w:val="auto"/>
          <w:highlight w:val="none"/>
        </w:rPr>
        <w:t>（</w:t>
      </w:r>
      <w:r>
        <w:rPr>
          <w:rFonts w:hint="eastAsia" w:ascii="仿宋" w:hAnsi="仿宋" w:eastAsia="仿宋"/>
          <w:bCs/>
          <w:color w:val="auto"/>
          <w:kern w:val="0"/>
          <w:szCs w:val="28"/>
          <w:highlight w:val="none"/>
        </w:rPr>
        <w:t>详见《</w:t>
      </w:r>
      <w:r>
        <w:rPr>
          <w:rFonts w:hint="eastAsia" w:ascii="仿宋_GB2312" w:hAnsi="Times New Roman" w:eastAsia="仿宋_GB2312" w:cs="Times New Roman"/>
          <w:b w:val="0"/>
          <w:color w:val="auto"/>
          <w:sz w:val="32"/>
          <w:highlight w:val="none"/>
        </w:rPr>
        <w:t>仙游县PS-20</w:t>
      </w:r>
      <w:r>
        <w:rPr>
          <w:rFonts w:hint="eastAsia" w:cs="Times New Roman"/>
          <w:b w:val="0"/>
          <w:color w:val="auto"/>
          <w:sz w:val="32"/>
          <w:highlight w:val="none"/>
          <w:lang w:eastAsia="zh-CN"/>
        </w:rPr>
        <w:t>22-4</w:t>
      </w:r>
      <w:r>
        <w:rPr>
          <w:rFonts w:hint="eastAsia" w:ascii="仿宋_GB2312" w:hAnsi="Times New Roman" w:eastAsia="仿宋_GB2312" w:cs="Times New Roman"/>
          <w:b w:val="0"/>
          <w:color w:val="auto"/>
          <w:sz w:val="32"/>
          <w:highlight w:val="none"/>
        </w:rPr>
        <w:t>号地块</w:t>
      </w:r>
      <w:r>
        <w:rPr>
          <w:rFonts w:hint="eastAsia" w:ascii="仿宋_GB2312" w:hAnsi="Times New Roman" w:eastAsia="仿宋_GB2312" w:cs="Times New Roman"/>
          <w:b w:val="0"/>
          <w:color w:val="auto"/>
          <w:sz w:val="32"/>
          <w:highlight w:val="none"/>
          <w:lang w:eastAsia="zh-CN"/>
        </w:rPr>
        <w:t>（</w:t>
      </w:r>
      <w:r>
        <w:rPr>
          <w:rFonts w:hint="eastAsia" w:cs="Times New Roman"/>
          <w:b w:val="0"/>
          <w:color w:val="auto"/>
          <w:sz w:val="32"/>
          <w:highlight w:val="none"/>
          <w:lang w:eastAsia="zh-CN"/>
        </w:rPr>
        <w:t>仙游县鲤南</w:t>
      </w:r>
      <w:r>
        <w:rPr>
          <w:rFonts w:hint="eastAsia" w:cs="Times New Roman"/>
          <w:b w:val="0"/>
          <w:color w:val="auto"/>
          <w:sz w:val="32"/>
          <w:highlight w:val="none"/>
          <w:lang w:val="en-US" w:eastAsia="zh-CN"/>
        </w:rPr>
        <w:t>41#地</w:t>
      </w:r>
      <w:r>
        <w:rPr>
          <w:rFonts w:hint="eastAsia" w:cs="Times New Roman"/>
          <w:b w:val="0"/>
          <w:color w:val="auto"/>
          <w:sz w:val="32"/>
          <w:highlight w:val="none"/>
          <w:lang w:eastAsia="zh-CN"/>
        </w:rPr>
        <w:t>安置房</w:t>
      </w:r>
      <w:r>
        <w:rPr>
          <w:rFonts w:hint="eastAsia" w:ascii="仿宋_GB2312" w:hAnsi="Times New Roman" w:eastAsia="仿宋_GB2312" w:cs="Times New Roman"/>
          <w:b w:val="0"/>
          <w:color w:val="auto"/>
          <w:sz w:val="32"/>
          <w:highlight w:val="none"/>
          <w:lang w:eastAsia="zh-CN"/>
        </w:rPr>
        <w:t>）</w:t>
      </w:r>
      <w:r>
        <w:rPr>
          <w:rFonts w:hint="eastAsia" w:cs="Times New Roman"/>
          <w:b w:val="0"/>
          <w:color w:val="auto"/>
          <w:sz w:val="32"/>
          <w:highlight w:val="none"/>
          <w:lang w:eastAsia="zh-CN"/>
        </w:rPr>
        <w:t>项目</w:t>
      </w:r>
      <w:r>
        <w:rPr>
          <w:rFonts w:hint="eastAsia" w:ascii="仿宋_GB2312" w:hAnsi="Times New Roman" w:eastAsia="仿宋_GB2312"/>
          <w:b w:val="0"/>
          <w:color w:val="auto"/>
          <w:sz w:val="32"/>
          <w:highlight w:val="none"/>
        </w:rPr>
        <w:t>公开出让及房产整体回购方案的函</w:t>
      </w:r>
      <w:r>
        <w:rPr>
          <w:rFonts w:hint="eastAsia" w:ascii="仿宋" w:hAnsi="仿宋" w:eastAsia="仿宋"/>
          <w:bCs/>
          <w:color w:val="auto"/>
          <w:kern w:val="0"/>
          <w:szCs w:val="28"/>
          <w:highlight w:val="none"/>
        </w:rPr>
        <w:t>》（仙</w:t>
      </w:r>
      <w:r>
        <w:rPr>
          <w:rFonts w:hint="eastAsia" w:ascii="仿宋" w:hAnsi="仿宋" w:eastAsia="仿宋"/>
          <w:bCs/>
          <w:color w:val="auto"/>
          <w:kern w:val="0"/>
          <w:szCs w:val="28"/>
          <w:highlight w:val="none"/>
          <w:lang w:eastAsia="zh-CN"/>
        </w:rPr>
        <w:t>港</w:t>
      </w:r>
      <w:r>
        <w:rPr>
          <w:rFonts w:hint="eastAsia" w:ascii="仿宋" w:hAnsi="仿宋" w:eastAsia="仿宋"/>
          <w:bCs/>
          <w:color w:val="auto"/>
          <w:kern w:val="0"/>
          <w:szCs w:val="28"/>
          <w:highlight w:val="none"/>
        </w:rPr>
        <w:t>管[2022]1</w:t>
      </w:r>
      <w:r>
        <w:rPr>
          <w:rFonts w:hint="eastAsia" w:ascii="仿宋" w:hAnsi="仿宋" w:eastAsia="仿宋"/>
          <w:bCs/>
          <w:color w:val="auto"/>
          <w:kern w:val="0"/>
          <w:szCs w:val="28"/>
          <w:highlight w:val="none"/>
          <w:lang w:val="en-US" w:eastAsia="zh-CN"/>
        </w:rPr>
        <w:t>2</w:t>
      </w:r>
      <w:r>
        <w:rPr>
          <w:rFonts w:hint="eastAsia" w:ascii="仿宋" w:hAnsi="仿宋" w:eastAsia="仿宋"/>
          <w:bCs/>
          <w:color w:val="auto"/>
          <w:kern w:val="0"/>
          <w:szCs w:val="28"/>
          <w:highlight w:val="none"/>
        </w:rPr>
        <w:t>号）文件）</w:t>
      </w:r>
      <w:r>
        <w:rPr>
          <w:rFonts w:hint="eastAsia" w:ascii="仿宋" w:hAnsi="仿宋" w:eastAsia="仿宋"/>
          <w:bCs/>
          <w:color w:val="auto"/>
          <w:kern w:val="0"/>
          <w:szCs w:val="28"/>
          <w:highlight w:val="none"/>
          <w:lang w:eastAsia="zh-CN"/>
        </w:rPr>
        <w:t>。</w:t>
      </w:r>
      <w:r>
        <w:rPr>
          <w:rFonts w:hint="eastAsia"/>
          <w:color w:val="auto"/>
          <w:highlight w:val="none"/>
        </w:rPr>
        <w:t>起始价</w:t>
      </w:r>
      <w:r>
        <w:rPr>
          <w:rFonts w:hint="eastAsia"/>
          <w:color w:val="auto"/>
          <w:highlight w:val="none"/>
          <w:lang w:val="en-US" w:eastAsia="zh-CN"/>
        </w:rPr>
        <w:t>10900</w:t>
      </w:r>
      <w:r>
        <w:rPr>
          <w:rFonts w:hint="eastAsia"/>
          <w:color w:val="auto"/>
          <w:highlight w:val="none"/>
        </w:rPr>
        <w:t>万元</w:t>
      </w:r>
      <w:r>
        <w:rPr>
          <w:rFonts w:hint="eastAsia"/>
          <w:color w:val="auto"/>
          <w:highlight w:val="none"/>
          <w:lang w:val="en-US" w:eastAsia="zh-CN"/>
        </w:rPr>
        <w:t>,</w:t>
      </w:r>
      <w:r>
        <w:rPr>
          <w:rFonts w:hint="eastAsia"/>
          <w:color w:val="auto"/>
          <w:highlight w:val="none"/>
        </w:rPr>
        <w:t>加价幅度100万元或100万元整数倍，拍卖保留价另行确定，价高者得</w:t>
      </w:r>
      <w:r>
        <w:rPr>
          <w:rFonts w:hint="eastAsia" w:ascii="仿宋_GB2312" w:hAnsi="Times New Roman" w:cs="Times New Roman"/>
          <w:color w:val="auto"/>
          <w:sz w:val="32"/>
          <w:szCs w:val="24"/>
          <w:highlight w:val="none"/>
        </w:rPr>
        <w:t>。</w:t>
      </w:r>
    </w:p>
    <w:p>
      <w:pPr>
        <w:spacing w:line="560" w:lineRule="exact"/>
        <w:ind w:firstLine="654" w:firstLineChars="200"/>
        <w:rPr>
          <w:rStyle w:val="8"/>
          <w:rFonts w:ascii="宋体" w:hAnsi="宋体" w:eastAsia="仿宋_GB2312"/>
          <w:color w:val="auto"/>
          <w:kern w:val="2"/>
          <w:sz w:val="32"/>
          <w:szCs w:val="24"/>
          <w:lang w:val="en-US" w:eastAsia="zh-CN" w:bidi="ar-SA"/>
        </w:rPr>
      </w:pPr>
      <w:r>
        <w:rPr>
          <w:rFonts w:hint="eastAsia" w:ascii="仿宋" w:hAnsi="仿宋" w:eastAsia="仿宋" w:cs="仿宋"/>
          <w:color w:val="auto"/>
          <w:sz w:val="32"/>
          <w:szCs w:val="32"/>
          <w:highlight w:val="none"/>
        </w:rPr>
        <w:t>项目建筑规划方案和主体工程及土建配套施工图</w:t>
      </w:r>
      <w:r>
        <w:rPr>
          <w:rFonts w:hint="eastAsia" w:ascii="仿宋" w:hAnsi="仿宋" w:eastAsia="仿宋" w:cs="仿宋"/>
          <w:color w:val="auto"/>
          <w:sz w:val="32"/>
          <w:szCs w:val="32"/>
          <w:highlight w:val="none"/>
          <w:lang w:val="en-US" w:eastAsia="zh-CN"/>
        </w:rPr>
        <w:t>的</w:t>
      </w:r>
      <w:r>
        <w:rPr>
          <w:rFonts w:hint="eastAsia" w:ascii="仿宋" w:hAnsi="仿宋" w:eastAsia="仿宋" w:cs="仿宋"/>
          <w:color w:val="auto"/>
          <w:sz w:val="32"/>
          <w:szCs w:val="32"/>
          <w:highlight w:val="none"/>
        </w:rPr>
        <w:t>勘察、设计及图审费共</w:t>
      </w:r>
      <w:r>
        <w:rPr>
          <w:rFonts w:hint="eastAsia" w:ascii="仿宋" w:hAnsi="仿宋" w:eastAsia="仿宋" w:cs="仿宋"/>
          <w:color w:val="auto"/>
          <w:sz w:val="32"/>
          <w:szCs w:val="32"/>
          <w:highlight w:val="none"/>
          <w:lang w:val="en-US" w:eastAsia="zh-CN"/>
        </w:rPr>
        <w:t>408</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val="en-US" w:eastAsia="zh-CN"/>
        </w:rPr>
        <w:t>由土地竞得者另行承担。</w:t>
      </w:r>
    </w:p>
    <w:p>
      <w:pPr>
        <w:kinsoku/>
        <w:wordWrap/>
        <w:overflowPunct/>
        <w:autoSpaceDE/>
        <w:autoSpaceDN/>
        <w:bidi w:val="0"/>
        <w:spacing w:line="560" w:lineRule="exact"/>
        <w:ind w:left="0" w:leftChars="0" w:firstLine="654" w:firstLineChars="200"/>
        <w:jc w:val="both"/>
        <w:textAlignment w:val="auto"/>
        <w:rPr>
          <w:rStyle w:val="8"/>
          <w:rFonts w:ascii="宋体" w:hAnsi="宋体" w:eastAsia="黑体"/>
          <w:color w:val="auto"/>
          <w:kern w:val="2"/>
          <w:sz w:val="32"/>
          <w:szCs w:val="24"/>
          <w:lang w:val="en-US" w:eastAsia="zh-CN" w:bidi="ar-SA"/>
        </w:rPr>
      </w:pPr>
      <w:r>
        <w:rPr>
          <w:rStyle w:val="8"/>
          <w:rFonts w:ascii="宋体" w:hAnsi="宋体" w:eastAsia="黑体"/>
          <w:color w:val="auto"/>
          <w:kern w:val="2"/>
          <w:sz w:val="32"/>
          <w:szCs w:val="24"/>
          <w:lang w:val="en-US" w:eastAsia="zh-CN" w:bidi="ar-SA"/>
        </w:rPr>
        <w:t>七、竞买对象及条件</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（一）竞买申请人同时具备以下条件的方能参与土地竞买：</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1.实行“网络报名，现场审核，现场交易”制度，所有竞买人必须通过“《福建省土地使用权出让管理系统》（网上交易模块）新系统试运行”进行注册登记并按系统要求提交申请，并按公告通知时间携带相应申请材料（一式两份且应与网上提交申请材料相符）准时前往仙游县行政服务中心管委会312室进行现场资格审核，审核结束后随即进行现场交易。在仙游县境内尚欠土地出让金者，不予申请竞买。</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2.竞买申请人只可单独竞买，不得联合竞买。</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3.竞买申请人须全面阅读本拍卖出让方案，一经提交申请资格审查，视为对拍卖出让方案及地块现状无异议并全面接受，在现场资格审核后签订现状确认书。拍卖成交后，竞得人对拍卖地块提出异议的，概不受理。</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（二）竞买保证金注意事项：</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1.中华人民共和国境内外的法人、自然人或其他组织，在交付竞买保证金</w:t>
      </w:r>
      <w:r>
        <w:rPr>
          <w:rStyle w:val="8"/>
          <w:rFonts w:hint="eastAsia" w:ascii="宋体" w:hAnsi="宋体"/>
          <w:color w:val="auto"/>
          <w:kern w:val="2"/>
          <w:sz w:val="32"/>
          <w:szCs w:val="24"/>
          <w:lang w:val="en-US" w:eastAsia="zh-CN" w:bidi="ar-SA"/>
        </w:rPr>
        <w:t>6540</w:t>
      </w:r>
      <w:r>
        <w:rPr>
          <w:rStyle w:val="8"/>
          <w:rFonts w:ascii="宋体" w:hAnsi="宋体" w:eastAsia="仿宋_GB2312"/>
          <w:color w:val="auto"/>
          <w:kern w:val="2"/>
          <w:sz w:val="32"/>
          <w:szCs w:val="24"/>
          <w:lang w:val="en-US" w:eastAsia="zh-CN" w:bidi="ar-SA"/>
        </w:rPr>
        <w:t>万元人民币之后（竞买申请人须出具承诺书保证支付的竞买保证金不属于房地产开发贷款、银行理财、募集、发行债券、信托计划、资产管理计划等融资资金，涉及购地的全部资金均为本单位（人）合规自有资金。如该地块竞得人虚假提供或隐瞒事实出具上述承诺书的，出让人将取消竞得人的竞得资格，已缴纳的竞买保证金不予返还；已签订《国有建设用地使用权出让合同》的，出让人解除《国有建设用地使用权出让合同》并收回土地，定金不予返还），均可按指定的时间和场合参加竞买。</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2.开户名称：仙游县自然资源局</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开户行:邮政储蓄银行仙游</w:t>
      </w:r>
      <w:r>
        <w:rPr>
          <w:rStyle w:val="8"/>
          <w:rFonts w:hint="eastAsia" w:ascii="宋体" w:hAnsi="宋体"/>
          <w:color w:val="auto"/>
          <w:kern w:val="2"/>
          <w:sz w:val="32"/>
          <w:szCs w:val="24"/>
          <w:lang w:val="en-US" w:eastAsia="zh-CN" w:bidi="ar-SA"/>
        </w:rPr>
        <w:t>县</w:t>
      </w:r>
      <w:r>
        <w:rPr>
          <w:rStyle w:val="8"/>
          <w:rFonts w:ascii="宋体" w:hAnsi="宋体" w:eastAsia="仿宋_GB2312"/>
          <w:color w:val="auto"/>
          <w:kern w:val="2"/>
          <w:sz w:val="32"/>
          <w:szCs w:val="24"/>
          <w:lang w:val="en-US" w:eastAsia="zh-CN" w:bidi="ar-SA"/>
        </w:rPr>
        <w:t xml:space="preserve">支行    </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账号:935008010011918936；</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 xml:space="preserve">开户行:工商银行莆田燕顶支行 </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账号:1405504119000007894；</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 xml:space="preserve">开户行:民生银行莆田仙游鲤中支行    </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账号:630737196；</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 xml:space="preserve">开户行:福建海峡银行仙游支行    </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账号:100057656120010001；</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 xml:space="preserve">开户行:建设银行仙游支行    </w:t>
      </w:r>
    </w:p>
    <w:p>
      <w:pPr>
        <w:kinsoku/>
        <w:wordWrap/>
        <w:overflowPunct/>
        <w:autoSpaceDE/>
        <w:autoSpaceDN/>
        <w:bidi w:val="0"/>
        <w:spacing w:line="560" w:lineRule="exact"/>
        <w:ind w:left="0" w:leftChars="0" w:firstLine="654" w:firstLineChars="200"/>
        <w:jc w:val="both"/>
        <w:textAlignment w:val="auto"/>
        <w:rPr>
          <w:rStyle w:val="8"/>
          <w:rFonts w:hint="eastAsia" w:ascii="宋体" w:hAnsi="宋体"/>
          <w:color w:val="auto"/>
          <w:kern w:val="2"/>
          <w:sz w:val="32"/>
          <w:szCs w:val="24"/>
          <w:lang w:val="en-US" w:eastAsia="zh-CN" w:bidi="ar-SA"/>
        </w:rPr>
      </w:pPr>
      <w:r>
        <w:rPr>
          <w:rStyle w:val="8"/>
          <w:rFonts w:ascii="宋体" w:hAnsi="宋体" w:eastAsia="仿宋_GB2312"/>
          <w:color w:val="auto"/>
          <w:kern w:val="2"/>
          <w:sz w:val="32"/>
          <w:szCs w:val="24"/>
          <w:lang w:val="en-US" w:eastAsia="zh-CN" w:bidi="ar-SA"/>
        </w:rPr>
        <w:t>账号:35050163630700001938</w:t>
      </w:r>
      <w:r>
        <w:rPr>
          <w:rStyle w:val="8"/>
          <w:rFonts w:hint="eastAsia" w:ascii="宋体" w:hAnsi="宋体"/>
          <w:color w:val="auto"/>
          <w:kern w:val="2"/>
          <w:sz w:val="32"/>
          <w:szCs w:val="24"/>
          <w:lang w:val="en-US" w:eastAsia="zh-CN" w:bidi="ar-SA"/>
        </w:rPr>
        <w:t>；</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开户行:</w:t>
      </w:r>
      <w:r>
        <w:rPr>
          <w:rStyle w:val="8"/>
          <w:rFonts w:hint="eastAsia" w:ascii="宋体" w:hAnsi="宋体"/>
          <w:color w:val="auto"/>
          <w:kern w:val="2"/>
          <w:sz w:val="32"/>
          <w:szCs w:val="24"/>
          <w:lang w:val="en-US" w:eastAsia="zh-CN" w:bidi="ar-SA"/>
        </w:rPr>
        <w:t>兴业</w:t>
      </w:r>
      <w:r>
        <w:rPr>
          <w:rStyle w:val="8"/>
          <w:rFonts w:ascii="宋体" w:hAnsi="宋体" w:eastAsia="仿宋_GB2312"/>
          <w:color w:val="auto"/>
          <w:kern w:val="2"/>
          <w:sz w:val="32"/>
          <w:szCs w:val="24"/>
          <w:lang w:val="en-US" w:eastAsia="zh-CN" w:bidi="ar-SA"/>
        </w:rPr>
        <w:t>银行</w:t>
      </w:r>
      <w:r>
        <w:rPr>
          <w:rStyle w:val="8"/>
          <w:rFonts w:hint="eastAsia" w:ascii="宋体" w:hAnsi="宋体"/>
          <w:color w:val="auto"/>
          <w:kern w:val="2"/>
          <w:sz w:val="32"/>
          <w:szCs w:val="24"/>
          <w:lang w:val="en-US" w:eastAsia="zh-CN" w:bidi="ar-SA"/>
        </w:rPr>
        <w:t>莆田</w:t>
      </w:r>
      <w:r>
        <w:rPr>
          <w:rStyle w:val="8"/>
          <w:rFonts w:ascii="宋体" w:hAnsi="宋体" w:eastAsia="仿宋_GB2312"/>
          <w:color w:val="auto"/>
          <w:kern w:val="2"/>
          <w:sz w:val="32"/>
          <w:szCs w:val="24"/>
          <w:lang w:val="en-US" w:eastAsia="zh-CN" w:bidi="ar-SA"/>
        </w:rPr>
        <w:t>仙游支行</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账号:</w:t>
      </w:r>
      <w:r>
        <w:rPr>
          <w:rStyle w:val="8"/>
          <w:rFonts w:hint="eastAsia" w:ascii="宋体" w:hAnsi="宋体"/>
          <w:color w:val="auto"/>
          <w:kern w:val="2"/>
          <w:sz w:val="32"/>
          <w:szCs w:val="24"/>
          <w:lang w:val="en-US" w:eastAsia="zh-CN" w:bidi="ar-SA"/>
        </w:rPr>
        <w:t>145100100100019205。</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所有竞买申请人必须以仙游县行政服务中心管委会统一制作编号的竞价标志牌竞相应价，竞投土地使用权，价高者得。</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四）土地竞买申请人在竞得土地使用权后，应在仙游县注册成立独立核算的具有开发资质项目开发公司，在仙游县税务部门依法纳税，建设施工单位亦应在仙游县税务部门依法纳税（含企业所得税）。土地出让人可以根据拍卖出让结果，先与土地竞得人签订《国有建设用地使用权出让合同》，在土地竞得人按约定（应自土地使用权出让合同签订之日起90日内）办理完独立核算的项目开发公司后，再与独立核算的项目开发公司签订《国有建设用地使用权出让合同变更协议》；也可按约定直接与独立核算的项目开发公司签订《国有建设用地使用权出让合同》。</w:t>
      </w:r>
    </w:p>
    <w:p>
      <w:pPr>
        <w:kinsoku/>
        <w:wordWrap/>
        <w:overflowPunct/>
        <w:autoSpaceDE/>
        <w:autoSpaceDN/>
        <w:bidi w:val="0"/>
        <w:spacing w:line="560" w:lineRule="exact"/>
        <w:ind w:left="0" w:leftChars="0" w:firstLine="654" w:firstLineChars="200"/>
        <w:jc w:val="both"/>
        <w:textAlignment w:val="auto"/>
        <w:rPr>
          <w:rStyle w:val="8"/>
          <w:rFonts w:ascii="黑体" w:hAnsi="黑体" w:eastAsia="黑体"/>
          <w:color w:val="auto"/>
          <w:kern w:val="2"/>
          <w:sz w:val="32"/>
          <w:szCs w:val="24"/>
          <w:lang w:val="en-US" w:eastAsia="zh-CN" w:bidi="ar-SA"/>
        </w:rPr>
      </w:pPr>
      <w:r>
        <w:rPr>
          <w:rStyle w:val="8"/>
          <w:rFonts w:ascii="黑体" w:hAnsi="黑体" w:eastAsia="黑体"/>
          <w:color w:val="auto"/>
          <w:kern w:val="2"/>
          <w:sz w:val="32"/>
          <w:szCs w:val="24"/>
          <w:lang w:val="en-US" w:eastAsia="zh-CN" w:bidi="ar-SA"/>
        </w:rPr>
        <w:t>八、税金费缴纳办法</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 xml:space="preserve"> （一）土地竞得人须在土地出让成交后10个工作日内签订《国有建设用地使用权出让合同》，逾期或拒绝签订《国有建设用地使用权出让合同》的，视为违约，土地出让人可取消其竞得资格，竞买保证金不予返还，土地竞得人还须按成交价的20%支付违约金。</w:t>
      </w:r>
      <w:r>
        <w:rPr>
          <w:rFonts w:hint="eastAsia"/>
          <w:color w:val="auto"/>
        </w:rPr>
        <w:t>竞得人须在出让合同签订后1个月内缴</w:t>
      </w:r>
      <w:r>
        <w:rPr>
          <w:rFonts w:hint="eastAsia"/>
          <w:color w:val="auto"/>
          <w:lang w:eastAsia="zh-CN"/>
        </w:rPr>
        <w:t>清</w:t>
      </w:r>
      <w:r>
        <w:rPr>
          <w:rFonts w:hint="eastAsia"/>
          <w:color w:val="auto"/>
        </w:rPr>
        <w:t>出让价款（竞买保证金可直接转为土地出让价款，即抵作土地成交价款）。土地出让价款包括土地成本、前期开发费用、新增建设用地有偿使用费、耕地开垦费、农业土地开发资金等。耕地占用税、契税</w:t>
      </w:r>
      <w:r>
        <w:rPr>
          <w:rFonts w:hint="eastAsia"/>
          <w:color w:val="auto"/>
          <w:lang w:eastAsia="zh-CN"/>
        </w:rPr>
        <w:t>、城市基础设施配套费</w:t>
      </w:r>
      <w:r>
        <w:rPr>
          <w:rFonts w:hint="eastAsia"/>
          <w:color w:val="auto"/>
        </w:rPr>
        <w:t>等其它有关的税、金、费由土地竞得人另行缴纳，耕地占用税应在《国有建设用地使用权出让合同》签订之日起30日内缴纳，契税应在《国有建设用地使用权出让合同》签订之日起10日内缴纳。拍卖地块有关产权证件及建设需要审批手续由买受人自行及时办理并承担相关费用。</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二）土地竞得人不得以任何理由和借口拖缴土地出让价款，若逾期未缴清的，自逾期之日起，每日按迟延支付款项的1‰向出让人缴纳滞纳金，逾期付款超过60日，经出让人催交后仍不能缴清土地出让价款的，土地出让人有权收回该幅土地使用权，并解除与土地竞得人签订的《国有建设用地使用权出让合同》，同时不予返还竞买保证金。因土地竞得人违约行为造成另行出让该地块的成交价款低于原拍卖成交价的，土地竞得人还应按实际差额向土地出让人支付赔偿金及向仙游县行政服务中心支付拍卖交易的相关费用。</w:t>
      </w:r>
    </w:p>
    <w:p>
      <w:pPr>
        <w:kinsoku/>
        <w:wordWrap/>
        <w:overflowPunct/>
        <w:autoSpaceDE/>
        <w:autoSpaceDN/>
        <w:bidi w:val="0"/>
        <w:spacing w:line="560" w:lineRule="exact"/>
        <w:ind w:left="0" w:leftChars="0" w:firstLine="654" w:firstLineChars="200"/>
        <w:jc w:val="both"/>
        <w:textAlignment w:val="auto"/>
        <w:rPr>
          <w:rStyle w:val="8"/>
          <w:rFonts w:ascii="宋体" w:hAnsi="宋体" w:eastAsia="黑体"/>
          <w:color w:val="auto"/>
          <w:kern w:val="2"/>
          <w:sz w:val="32"/>
          <w:szCs w:val="24"/>
          <w:lang w:val="en-US" w:eastAsia="zh-CN" w:bidi="ar-SA"/>
        </w:rPr>
      </w:pPr>
      <w:r>
        <w:rPr>
          <w:rStyle w:val="8"/>
          <w:rFonts w:ascii="宋体" w:hAnsi="宋体" w:eastAsia="黑体"/>
          <w:color w:val="auto"/>
          <w:kern w:val="2"/>
          <w:sz w:val="32"/>
          <w:szCs w:val="24"/>
          <w:lang w:val="en-US" w:eastAsia="zh-CN" w:bidi="ar-SA"/>
        </w:rPr>
        <w:t xml:space="preserve"> 九、其他事项</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 xml:space="preserve"> 1.竞买拍卖地点：仙游县行政服务中心管委会312室。</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 xml:space="preserve"> 2.</w:t>
      </w:r>
      <w:r>
        <w:rPr>
          <w:rStyle w:val="8"/>
          <w:rFonts w:ascii="宋体" w:hAnsi="宋体" w:eastAsia="仿宋_GB2312"/>
          <w:kern w:val="2"/>
          <w:sz w:val="32"/>
          <w:szCs w:val="24"/>
          <w:lang w:val="en-US" w:eastAsia="zh-CN" w:bidi="ar-SA"/>
        </w:rPr>
        <w:t>网上提交竞买申请及</w:t>
      </w:r>
      <w:r>
        <w:rPr>
          <w:rStyle w:val="8"/>
          <w:rFonts w:hint="eastAsia" w:ascii="宋体" w:hAnsi="宋体"/>
          <w:kern w:val="2"/>
          <w:sz w:val="32"/>
          <w:szCs w:val="24"/>
          <w:lang w:val="en-US" w:eastAsia="zh-CN" w:bidi="ar-SA"/>
        </w:rPr>
        <w:t>保证金缴纳时间为2022年4月11日起至4月21日上午8时50分整截止，</w:t>
      </w:r>
      <w:r>
        <w:rPr>
          <w:rStyle w:val="8"/>
          <w:rFonts w:ascii="宋体" w:hAnsi="宋体" w:eastAsia="仿宋_GB2312"/>
          <w:kern w:val="2"/>
          <w:sz w:val="32"/>
          <w:szCs w:val="24"/>
          <w:lang w:val="en-US" w:eastAsia="zh-CN" w:bidi="ar-SA"/>
        </w:rPr>
        <w:t>拍卖时间</w:t>
      </w:r>
      <w:r>
        <w:rPr>
          <w:rStyle w:val="8"/>
          <w:rFonts w:hint="eastAsia" w:ascii="宋体" w:hAnsi="宋体"/>
          <w:kern w:val="2"/>
          <w:sz w:val="32"/>
          <w:szCs w:val="24"/>
          <w:lang w:val="en-US" w:eastAsia="zh-CN" w:bidi="ar-SA"/>
        </w:rPr>
        <w:t>为2022年4月21日上午9时起。</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 xml:space="preserve"> 3.具体内容见网站发布拍卖出让文件，公告内容若与出让文件内容不一致的，以出让方案为准。</w:t>
      </w:r>
    </w:p>
    <w:p>
      <w:pPr>
        <w:kinsoku/>
        <w:wordWrap/>
        <w:overflowPunct/>
        <w:autoSpaceDE/>
        <w:autoSpaceDN/>
        <w:bidi w:val="0"/>
        <w:spacing w:line="560" w:lineRule="exact"/>
        <w:ind w:left="0" w:leftChars="0" w:firstLine="654" w:firstLineChars="200"/>
        <w:jc w:val="both"/>
        <w:textAlignment w:val="auto"/>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 xml:space="preserve"> 网址：中国土地市场网（www.landchina.com），仙游县行政服务中心网（http://www.xianyou.gov.cn/ztbzx），福建省土地使用权出让管理系统（网上交易模块）运行网站</w:t>
      </w:r>
      <w:r>
        <w:rPr>
          <w:rStyle w:val="8"/>
          <w:rFonts w:hint="eastAsia" w:ascii="宋体" w:hAnsi="宋体"/>
          <w:color w:val="auto"/>
          <w:kern w:val="2"/>
          <w:sz w:val="32"/>
          <w:szCs w:val="24"/>
          <w:lang w:val="en-US" w:eastAsia="zh-CN" w:bidi="ar-SA"/>
        </w:rPr>
        <w:t>（</w:t>
      </w:r>
      <w:r>
        <w:rPr>
          <w:rStyle w:val="8"/>
          <w:rFonts w:hint="eastAsia" w:ascii="宋体" w:hAnsi="宋体" w:eastAsia="仿宋_GB2312"/>
          <w:color w:val="auto"/>
          <w:kern w:val="2"/>
          <w:sz w:val="32"/>
          <w:szCs w:val="24"/>
          <w:lang w:val="en-US" w:eastAsia="zh-CN" w:bidi="ar-SA"/>
        </w:rPr>
        <w:t>https://220.160.52.204/publicweb/PublicWeb_fjzpg/Main/Index</w:t>
      </w:r>
      <w:r>
        <w:rPr>
          <w:rStyle w:val="8"/>
          <w:rFonts w:hint="eastAsia" w:ascii="宋体" w:hAnsi="宋体"/>
          <w:color w:val="auto"/>
          <w:kern w:val="2"/>
          <w:sz w:val="32"/>
          <w:szCs w:val="24"/>
          <w:lang w:val="en-US" w:eastAsia="zh-CN" w:bidi="ar-SA"/>
        </w:rPr>
        <w:t>)</w:t>
      </w:r>
      <w:r>
        <w:rPr>
          <w:rStyle w:val="8"/>
          <w:rFonts w:ascii="宋体" w:hAnsi="宋体" w:eastAsia="仿宋_GB2312"/>
          <w:color w:val="auto"/>
          <w:kern w:val="2"/>
          <w:sz w:val="32"/>
          <w:szCs w:val="24"/>
          <w:lang w:val="en-US" w:eastAsia="zh-CN" w:bidi="ar-SA"/>
        </w:rPr>
        <w:t>由福建省自然资源厅官网</w:t>
      </w:r>
      <w:r>
        <w:rPr>
          <w:rStyle w:val="8"/>
          <w:rFonts w:hint="eastAsia" w:ascii="宋体" w:hAnsi="宋体"/>
          <w:color w:val="auto"/>
          <w:kern w:val="2"/>
          <w:sz w:val="32"/>
          <w:szCs w:val="24"/>
          <w:lang w:val="en-US" w:eastAsia="zh-CN" w:bidi="ar-SA"/>
        </w:rPr>
        <w:t>业务系统栏</w:t>
      </w:r>
      <w:r>
        <w:rPr>
          <w:rStyle w:val="8"/>
          <w:rFonts w:ascii="宋体" w:hAnsi="宋体" w:eastAsia="仿宋_GB2312"/>
          <w:color w:val="auto"/>
          <w:kern w:val="2"/>
          <w:sz w:val="32"/>
          <w:szCs w:val="24"/>
          <w:lang w:val="en-US" w:eastAsia="zh-CN" w:bidi="ar-SA"/>
        </w:rPr>
        <w:t>登录。</w:t>
      </w:r>
    </w:p>
    <w:p>
      <w:pPr>
        <w:kinsoku/>
        <w:wordWrap/>
        <w:overflowPunct/>
        <w:autoSpaceDE/>
        <w:autoSpaceDN/>
        <w:bidi w:val="0"/>
        <w:spacing w:line="560" w:lineRule="exact"/>
        <w:ind w:left="0" w:leftChars="0" w:firstLine="654" w:firstLineChars="200"/>
        <w:jc w:val="both"/>
        <w:textAlignment w:val="auto"/>
        <w:rPr>
          <w:color w:val="auto"/>
          <w:lang w:val="en-US" w:eastAsia="zh-CN"/>
        </w:rPr>
      </w:pPr>
      <w:r>
        <w:rPr>
          <w:rStyle w:val="8"/>
          <w:rFonts w:ascii="宋体" w:hAnsi="宋体" w:eastAsia="仿宋_GB2312"/>
          <w:color w:val="auto"/>
          <w:kern w:val="2"/>
          <w:sz w:val="32"/>
          <w:szCs w:val="24"/>
          <w:lang w:val="en-US" w:eastAsia="zh-CN" w:bidi="ar-SA"/>
        </w:rPr>
        <w:t xml:space="preserve"> </w:t>
      </w:r>
      <w:r>
        <w:rPr>
          <w:rStyle w:val="8"/>
          <w:rFonts w:ascii="宋体" w:hAnsi="宋体" w:eastAsia="黑体"/>
          <w:color w:val="auto"/>
          <w:kern w:val="2"/>
          <w:sz w:val="32"/>
          <w:szCs w:val="24"/>
          <w:lang w:val="en-US" w:eastAsia="zh-CN" w:bidi="ar-SA"/>
        </w:rPr>
        <w:t>十、本拍卖出让方案由仙游县自然资源局负责解释。</w:t>
      </w:r>
      <w:bookmarkEnd w:id="0"/>
    </w:p>
    <w:p>
      <w:pPr>
        <w:widowControl w:val="0"/>
        <w:wordWrap/>
        <w:adjustRightInd/>
        <w:snapToGrid/>
        <w:spacing w:before="0" w:after="0" w:line="560" w:lineRule="exact"/>
        <w:ind w:left="0" w:leftChars="0" w:right="0" w:firstLine="654" w:firstLineChars="200"/>
        <w:jc w:val="both"/>
        <w:textAlignment w:val="auto"/>
        <w:outlineLvl w:val="9"/>
        <w:rPr>
          <w:rStyle w:val="8"/>
          <w:rFonts w:ascii="宋体" w:hAnsi="宋体" w:eastAsia="仿宋_GB2312"/>
          <w:color w:val="auto"/>
          <w:kern w:val="2"/>
          <w:sz w:val="32"/>
          <w:szCs w:val="24"/>
          <w:lang w:val="en-US" w:eastAsia="zh-CN" w:bidi="ar-SA"/>
        </w:rPr>
      </w:pPr>
      <w:r>
        <w:rPr>
          <w:rStyle w:val="8"/>
          <w:rFonts w:ascii="宋体" w:hAnsi="宋体" w:eastAsia="仿宋_GB2312"/>
          <w:color w:val="auto"/>
          <w:kern w:val="2"/>
          <w:sz w:val="32"/>
          <w:szCs w:val="24"/>
          <w:lang w:val="en-US" w:eastAsia="zh-CN" w:bidi="ar-SA"/>
        </w:rPr>
        <w:t>联系人：郑先生       联系电话：13666918833</w:t>
      </w:r>
      <w:bookmarkStart w:id="1" w:name="_GoBack"/>
      <w:bookmarkEnd w:id="1"/>
    </w:p>
    <w:sectPr>
      <w:footerReference r:id="rId3" w:type="default"/>
      <w:footerReference r:id="rId4" w:type="even"/>
      <w:pgSz w:w="11906" w:h="16838"/>
      <w:pgMar w:top="2098" w:right="1531" w:bottom="1984" w:left="1531" w:header="851" w:footer="1587" w:gutter="0"/>
      <w:pgBorders>
        <w:top w:val="none" w:sz="0" w:space="0"/>
        <w:left w:val="none" w:sz="0" w:space="0"/>
        <w:bottom w:val="none" w:sz="0" w:space="0"/>
        <w:right w:val="none" w:sz="0" w:space="0"/>
      </w:pgBorders>
      <w:lnNumType w:countBy="0"/>
      <w:pgNumType w:fmt="decimal"/>
      <w:cols w:space="0" w:num="1"/>
      <w:docGrid w:type="linesAndChars" w:linePitch="439" w:charSpace="15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lang w:val="en-US" w:eastAsia="zh-CN"/>
      </w:rPr>
    </w:pPr>
    <w:r>
      <w:rPr>
        <w:rFonts w:ascii="仿宋_GB2312" w:hAnsi="Times New Roman"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widowControl/>
                            <w:wordWrap/>
                            <w:adjustRightInd/>
                            <w:snapToGrid w:val="0"/>
                            <w:spacing w:before="0" w:after="0" w:line="240" w:lineRule="auto"/>
                            <w:ind w:left="320" w:leftChars="100" w:right="320" w:rightChars="100" w:firstLine="0" w:firstLineChars="0"/>
                            <w:jc w:val="both"/>
                            <w:textAlignment w:val="baseline"/>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wrap="none" lIns="0" tIns="0" rIns="0" bIns="0" upright="0">
                      <a:spAutoFit/>
                    </wps:bodyPr>
                  </wps:wsp>
                </a:graphicData>
              </a:graphic>
            </wp:anchor>
          </w:drawing>
        </mc:Choice>
        <mc:Fallback>
          <w:pict>
            <v:shape id="文本框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U+CH8gBAACY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Vtm&#10;dfoANSY9BkxLw40fcubkB3Rm0oOKNn+RDsE4anu6aCuHRER+tFquVhWGBMbmC+Kwp+chQrqT3pJs&#10;NDTi8Iqm/HgPaUydU3I152+1MejntXF/ORAze1jufewxW2nYDVPjO9+ekE+Pc2+owzWnxHx0KGte&#10;kdmIs7GbjUOIet+VHcr1IHw4JGyi9JYrjLBTYRxYYTctV96I5/eS9fRDbf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1Pgh/IAQAAmAMAAA4AAAAAAAAAAQAgAAAAHgEAAGRycy9lMm9Eb2Mu&#10;eG1sUEsFBgAAAAAGAAYAWQEAAFgFAAAAAA==&#10;">
              <v:fill on="f" focussize="0,0"/>
              <v:stroke on="f"/>
              <v:imagedata o:title=""/>
              <o:lock v:ext="edit" aspectratio="f"/>
              <v:textbox inset="0mm,0mm,0mm,0mm" style="mso-fit-shape-to-text:t;">
                <w:txbxContent>
                  <w:p>
                    <w:pPr>
                      <w:widowControl/>
                      <w:wordWrap/>
                      <w:adjustRightInd/>
                      <w:snapToGrid w:val="0"/>
                      <w:spacing w:before="0" w:after="0" w:line="240" w:lineRule="auto"/>
                      <w:ind w:left="320" w:leftChars="100" w:right="320" w:rightChars="100" w:firstLine="0" w:firstLineChars="0"/>
                      <w:jc w:val="both"/>
                      <w:textAlignment w:val="baseline"/>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1"/>
      <w:widowControl/>
      <w:snapToGrid w:val="0"/>
      <w:jc w:val="left"/>
      <w:textAlignment w:val="baseline"/>
      <w:rPr>
        <w:rStyle w:val="9"/>
        <w:rFonts w:ascii="仿宋_GB2312" w:eastAsia="仿宋_GB2312"/>
        <w:kern w:val="2"/>
        <w:sz w:val="18"/>
        <w:szCs w:val="18"/>
        <w:lang w:val="en-US" w:eastAsia="zh-CN" w:bidi="ar-SA"/>
      </w:rPr>
    </w:pPr>
  </w:p>
  <w:p>
    <w:pPr>
      <w:pStyle w:val="3"/>
      <w:widowControl/>
      <w:snapToGrid w:val="0"/>
      <w:ind w:right="360"/>
      <w:jc w:val="left"/>
      <w:textAlignment w:val="baseline"/>
      <w:rPr>
        <w:rStyle w:val="8"/>
        <w:rFonts w:ascii="仿宋_GB2312" w:eastAsia="仿宋_GB2312"/>
        <w:kern w:val="2"/>
        <w:sz w:val="18"/>
        <w:szCs w:val="18"/>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64"/>
  <w:drawingGridVerticalSpacing w:val="220"/>
  <w:displayHorizontalDrawingGridEvery w:val="2"/>
  <w:displayVerticalDrawingGridEvery w:val="2"/>
  <w:doNotUseMarginsForDrawingGridOrigin w:val="1"/>
  <w:drawingGridHorizontalOrigin w:val="1800"/>
  <w:drawingGridVerticalOrigin w:val="144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9275AF"/>
    <w:rsid w:val="33213FCC"/>
    <w:rsid w:val="3637518B"/>
    <w:rsid w:val="36B71252"/>
    <w:rsid w:val="38B62DA1"/>
    <w:rsid w:val="40714F85"/>
    <w:rsid w:val="487344BE"/>
    <w:rsid w:val="693D30FD"/>
    <w:rsid w:val="725B2B9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jc w:val="both"/>
      <w:textAlignment w:val="baseline"/>
    </w:pPr>
    <w:rPr>
      <w:rFonts w:ascii="仿宋_GB2312" w:hAnsi="Times New Roman"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jc w:val="both"/>
      <w:textAlignment w:val="baseline"/>
    </w:pPr>
  </w:style>
  <w:style w:type="paragraph" w:styleId="3">
    <w:name w:val="footer"/>
    <w:basedOn w:val="1"/>
    <w:qFormat/>
    <w:uiPriority w:val="0"/>
    <w:pPr>
      <w:tabs>
        <w:tab w:val="center" w:pos="4153"/>
        <w:tab w:val="right" w:pos="8306"/>
      </w:tabs>
      <w:snapToGrid w:val="0"/>
      <w:jc w:val="left"/>
      <w:textAlignment w:val="baseline"/>
    </w:pPr>
    <w:rPr>
      <w:rFonts w:ascii="仿宋_GB2312" w:eastAsia="仿宋_GB2312"/>
      <w:kern w:val="2"/>
      <w:sz w:val="18"/>
      <w:szCs w:val="18"/>
      <w:lang w:val="en-US" w:eastAsia="zh-CN" w:bidi="ar-SA"/>
    </w:rPr>
  </w:style>
  <w:style w:type="paragraph" w:styleId="4">
    <w:name w:val="header"/>
    <w:basedOn w:val="1"/>
    <w:qFormat/>
    <w:uiPriority w:val="0"/>
    <w:pPr>
      <w:pBdr>
        <w:bottom w:val="single" w:color="000000" w:sz="6" w:space="1"/>
      </w:pBdr>
      <w:tabs>
        <w:tab w:val="center" w:pos="4153"/>
        <w:tab w:val="right" w:pos="8306"/>
      </w:tabs>
      <w:snapToGrid w:val="0"/>
      <w:jc w:val="center"/>
      <w:textAlignment w:val="baseline"/>
    </w:pPr>
    <w:rPr>
      <w:rFonts w:ascii="仿宋_GB2312" w:eastAsia="仿宋_GB2312"/>
      <w:kern w:val="2"/>
      <w:sz w:val="18"/>
      <w:szCs w:val="18"/>
      <w:lang w:val="en-US" w:eastAsia="zh-CN" w:bidi="ar-SA"/>
    </w:rPr>
  </w:style>
  <w:style w:type="paragraph" w:customStyle="1" w:styleId="7">
    <w:name w:val="Acetate"/>
    <w:basedOn w:val="1"/>
    <w:semiHidden/>
    <w:qFormat/>
    <w:uiPriority w:val="0"/>
    <w:pPr>
      <w:jc w:val="both"/>
      <w:textAlignment w:val="baseline"/>
    </w:pPr>
    <w:rPr>
      <w:rFonts w:ascii="仿宋_GB2312" w:eastAsia="仿宋_GB2312"/>
      <w:kern w:val="2"/>
      <w:sz w:val="18"/>
      <w:szCs w:val="18"/>
      <w:lang w:val="en-US" w:eastAsia="zh-CN" w:bidi="ar-SA"/>
    </w:rPr>
  </w:style>
  <w:style w:type="character" w:customStyle="1" w:styleId="8">
    <w:name w:val="NormalCharacter"/>
    <w:link w:val="1"/>
    <w:semiHidden/>
    <w:qFormat/>
    <w:uiPriority w:val="0"/>
    <w:rPr>
      <w:rFonts w:ascii="仿宋_GB2312" w:hAnsi="Times New Roman" w:eastAsia="仿宋_GB2312" w:cs="Times New Roman"/>
      <w:kern w:val="2"/>
      <w:sz w:val="32"/>
      <w:szCs w:val="24"/>
      <w:lang w:val="en-US" w:eastAsia="zh-CN" w:bidi="ar-SA"/>
    </w:rPr>
  </w:style>
  <w:style w:type="character" w:customStyle="1" w:styleId="9">
    <w:name w:val="PageNumber"/>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3496</Words>
  <Characters>3889</Characters>
  <Lines>0</Lines>
  <Paragraphs>0</Paragraphs>
  <TotalTime>0</TotalTime>
  <ScaleCrop>false</ScaleCrop>
  <LinksUpToDate>false</LinksUpToDate>
  <CharactersWithSpaces>3992</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2020-10-20T00:14:00Z</dcterms:created>
  <dc:creator>Administrator</dc:creator>
  <cp:lastModifiedBy>Administrator</cp:lastModifiedBy>
  <cp:lastPrinted>2022-03-30T06:16:00Z</cp:lastPrinted>
  <dcterms:modified xsi:type="dcterms:W3CDTF">2022-03-31T07:48:58Z</dcterms:modified>
  <dc:title>莆政土（仙）〔2021〕22号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4451F7C4FA064AA98B6898CDAA970E53</vt:lpwstr>
  </property>
</Properties>
</file>